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A167B" w14:textId="4FF193C3" w:rsidR="00BD7707" w:rsidRPr="008D42A4" w:rsidRDefault="008D42A4" w:rsidP="008D42A4">
      <w:pPr>
        <w:pStyle w:val="Title"/>
        <w:jc w:val="center"/>
      </w:pPr>
      <w:r w:rsidRPr="008D42A4">
        <w:t>Online Annex</w:t>
      </w:r>
    </w:p>
    <w:p w14:paraId="01BE8D8A" w14:textId="0648979E" w:rsidR="008D42A4" w:rsidRDefault="008D42A4" w:rsidP="00BD7707">
      <w:pPr>
        <w:pStyle w:val="FootnoteText"/>
        <w:rPr>
          <w:b/>
          <w:bCs/>
          <w:sz w:val="22"/>
          <w:szCs w:val="22"/>
        </w:rPr>
      </w:pPr>
    </w:p>
    <w:sdt>
      <w:sdtPr>
        <w:rPr>
          <w:rFonts w:ascii="Times New Roman" w:eastAsia="Times New Roman" w:hAnsi="Times New Roman" w:cs="Times New Roman"/>
          <w:b w:val="0"/>
          <w:bCs w:val="0"/>
          <w:color w:val="auto"/>
          <w:sz w:val="24"/>
          <w:szCs w:val="24"/>
        </w:rPr>
        <w:id w:val="1057053888"/>
        <w:docPartObj>
          <w:docPartGallery w:val="Table of Contents"/>
          <w:docPartUnique/>
        </w:docPartObj>
      </w:sdtPr>
      <w:sdtEndPr>
        <w:rPr>
          <w:noProof/>
        </w:rPr>
      </w:sdtEndPr>
      <w:sdtContent>
        <w:p w14:paraId="35DD8696" w14:textId="4B3DDE2B" w:rsidR="003E49B2" w:rsidRDefault="003E49B2">
          <w:pPr>
            <w:pStyle w:val="TOCHeading"/>
          </w:pPr>
          <w:r>
            <w:t>Table of Contents</w:t>
          </w:r>
        </w:p>
        <w:p w14:paraId="1ACEF4E3" w14:textId="07DE8BBD" w:rsidR="00D45EA9" w:rsidRDefault="003E49B2">
          <w:pPr>
            <w:pStyle w:val="TOC1"/>
            <w:tabs>
              <w:tab w:val="left" w:pos="480"/>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9301426" w:history="1">
            <w:r w:rsidR="00D45EA9" w:rsidRPr="00DF7AE2">
              <w:rPr>
                <w:rStyle w:val="Hyperlink"/>
                <w:rFonts w:eastAsiaTheme="majorEastAsia"/>
                <w:noProof/>
              </w:rPr>
              <w:t>1.</w:t>
            </w:r>
            <w:r w:rsidR="00D45EA9">
              <w:rPr>
                <w:rFonts w:eastAsiaTheme="minorEastAsia" w:cstheme="minorBidi"/>
                <w:b w:val="0"/>
                <w:bCs w:val="0"/>
                <w:i w:val="0"/>
                <w:iCs w:val="0"/>
                <w:noProof/>
              </w:rPr>
              <w:tab/>
            </w:r>
            <w:r w:rsidR="00D45EA9" w:rsidRPr="00DF7AE2">
              <w:rPr>
                <w:rStyle w:val="Hyperlink"/>
                <w:rFonts w:eastAsiaTheme="majorEastAsia"/>
                <w:noProof/>
              </w:rPr>
              <w:t>Sources and construction of the indicators proposed to measure country responses toward global Covid-19 health equity</w:t>
            </w:r>
            <w:r w:rsidR="00D45EA9">
              <w:rPr>
                <w:noProof/>
                <w:webHidden/>
              </w:rPr>
              <w:tab/>
            </w:r>
            <w:r w:rsidR="00D45EA9">
              <w:rPr>
                <w:noProof/>
                <w:webHidden/>
              </w:rPr>
              <w:fldChar w:fldCharType="begin"/>
            </w:r>
            <w:r w:rsidR="00D45EA9">
              <w:rPr>
                <w:noProof/>
                <w:webHidden/>
              </w:rPr>
              <w:instrText xml:space="preserve"> PAGEREF _Toc99301426 \h </w:instrText>
            </w:r>
            <w:r w:rsidR="00D45EA9">
              <w:rPr>
                <w:noProof/>
                <w:webHidden/>
              </w:rPr>
            </w:r>
            <w:r w:rsidR="00D45EA9">
              <w:rPr>
                <w:noProof/>
                <w:webHidden/>
              </w:rPr>
              <w:fldChar w:fldCharType="separate"/>
            </w:r>
            <w:r w:rsidR="00D45EA9">
              <w:rPr>
                <w:noProof/>
                <w:webHidden/>
              </w:rPr>
              <w:t>1</w:t>
            </w:r>
            <w:r w:rsidR="00D45EA9">
              <w:rPr>
                <w:noProof/>
                <w:webHidden/>
              </w:rPr>
              <w:fldChar w:fldCharType="end"/>
            </w:r>
          </w:hyperlink>
        </w:p>
        <w:p w14:paraId="10955C8B" w14:textId="72368EDF" w:rsidR="00D45EA9" w:rsidRDefault="00140D00">
          <w:pPr>
            <w:pStyle w:val="TOC2"/>
            <w:tabs>
              <w:tab w:val="right" w:leader="dot" w:pos="9350"/>
            </w:tabs>
            <w:rPr>
              <w:rFonts w:eastAsiaTheme="minorEastAsia" w:cstheme="minorBidi"/>
              <w:b w:val="0"/>
              <w:bCs w:val="0"/>
              <w:noProof/>
              <w:sz w:val="24"/>
              <w:szCs w:val="24"/>
            </w:rPr>
          </w:pPr>
          <w:hyperlink w:anchor="_Toc99301427" w:history="1">
            <w:r w:rsidR="00D45EA9" w:rsidRPr="00DF7AE2">
              <w:rPr>
                <w:rStyle w:val="Hyperlink"/>
                <w:rFonts w:eastAsiaTheme="majorEastAsia"/>
                <w:noProof/>
              </w:rPr>
              <w:t>Dimension 1: Financing vaccines, testing and therapeutics</w:t>
            </w:r>
            <w:r w:rsidR="00D45EA9">
              <w:rPr>
                <w:noProof/>
                <w:webHidden/>
              </w:rPr>
              <w:tab/>
            </w:r>
            <w:r w:rsidR="00D45EA9">
              <w:rPr>
                <w:noProof/>
                <w:webHidden/>
              </w:rPr>
              <w:fldChar w:fldCharType="begin"/>
            </w:r>
            <w:r w:rsidR="00D45EA9">
              <w:rPr>
                <w:noProof/>
                <w:webHidden/>
              </w:rPr>
              <w:instrText xml:space="preserve"> PAGEREF _Toc99301427 \h </w:instrText>
            </w:r>
            <w:r w:rsidR="00D45EA9">
              <w:rPr>
                <w:noProof/>
                <w:webHidden/>
              </w:rPr>
            </w:r>
            <w:r w:rsidR="00D45EA9">
              <w:rPr>
                <w:noProof/>
                <w:webHidden/>
              </w:rPr>
              <w:fldChar w:fldCharType="separate"/>
            </w:r>
            <w:r w:rsidR="00D45EA9">
              <w:rPr>
                <w:noProof/>
                <w:webHidden/>
              </w:rPr>
              <w:t>1</w:t>
            </w:r>
            <w:r w:rsidR="00D45EA9">
              <w:rPr>
                <w:noProof/>
                <w:webHidden/>
              </w:rPr>
              <w:fldChar w:fldCharType="end"/>
            </w:r>
          </w:hyperlink>
        </w:p>
        <w:p w14:paraId="4D0BFD30" w14:textId="487BC5AE" w:rsidR="00D45EA9" w:rsidRDefault="00140D00">
          <w:pPr>
            <w:pStyle w:val="TOC2"/>
            <w:tabs>
              <w:tab w:val="right" w:leader="dot" w:pos="9350"/>
            </w:tabs>
            <w:rPr>
              <w:rFonts w:eastAsiaTheme="minorEastAsia" w:cstheme="minorBidi"/>
              <w:b w:val="0"/>
              <w:bCs w:val="0"/>
              <w:noProof/>
              <w:sz w:val="24"/>
              <w:szCs w:val="24"/>
            </w:rPr>
          </w:pPr>
          <w:hyperlink w:anchor="_Toc99301428" w:history="1">
            <w:r w:rsidR="00D45EA9" w:rsidRPr="00DF7AE2">
              <w:rPr>
                <w:rStyle w:val="Hyperlink"/>
                <w:rFonts w:eastAsiaTheme="majorEastAsia"/>
                <w:noProof/>
              </w:rPr>
              <w:t>Dimension 2: Procurement and sharing of vaccine doses</w:t>
            </w:r>
            <w:r w:rsidR="00D45EA9">
              <w:rPr>
                <w:noProof/>
                <w:webHidden/>
              </w:rPr>
              <w:tab/>
            </w:r>
            <w:r w:rsidR="00D45EA9">
              <w:rPr>
                <w:noProof/>
                <w:webHidden/>
              </w:rPr>
              <w:fldChar w:fldCharType="begin"/>
            </w:r>
            <w:r w:rsidR="00D45EA9">
              <w:rPr>
                <w:noProof/>
                <w:webHidden/>
              </w:rPr>
              <w:instrText xml:space="preserve"> PAGEREF _Toc99301428 \h </w:instrText>
            </w:r>
            <w:r w:rsidR="00D45EA9">
              <w:rPr>
                <w:noProof/>
                <w:webHidden/>
              </w:rPr>
            </w:r>
            <w:r w:rsidR="00D45EA9">
              <w:rPr>
                <w:noProof/>
                <w:webHidden/>
              </w:rPr>
              <w:fldChar w:fldCharType="separate"/>
            </w:r>
            <w:r w:rsidR="00D45EA9">
              <w:rPr>
                <w:noProof/>
                <w:webHidden/>
              </w:rPr>
              <w:t>2</w:t>
            </w:r>
            <w:r w:rsidR="00D45EA9">
              <w:rPr>
                <w:noProof/>
                <w:webHidden/>
              </w:rPr>
              <w:fldChar w:fldCharType="end"/>
            </w:r>
          </w:hyperlink>
        </w:p>
        <w:p w14:paraId="5FFCF938" w14:textId="4D732209" w:rsidR="00D45EA9" w:rsidRDefault="00140D00">
          <w:pPr>
            <w:pStyle w:val="TOC2"/>
            <w:tabs>
              <w:tab w:val="right" w:leader="dot" w:pos="9350"/>
            </w:tabs>
            <w:rPr>
              <w:rFonts w:eastAsiaTheme="minorEastAsia" w:cstheme="minorBidi"/>
              <w:b w:val="0"/>
              <w:bCs w:val="0"/>
              <w:noProof/>
              <w:sz w:val="24"/>
              <w:szCs w:val="24"/>
            </w:rPr>
          </w:pPr>
          <w:hyperlink w:anchor="_Toc99301429" w:history="1">
            <w:r w:rsidR="00D45EA9" w:rsidRPr="00DF7AE2">
              <w:rPr>
                <w:rStyle w:val="Hyperlink"/>
                <w:rFonts w:eastAsiaTheme="majorEastAsia"/>
                <w:noProof/>
              </w:rPr>
              <w:t>Dimension 3: Sharing intellectual property and removing export restrictions on medical products</w:t>
            </w:r>
            <w:r w:rsidR="00D45EA9">
              <w:rPr>
                <w:noProof/>
                <w:webHidden/>
              </w:rPr>
              <w:tab/>
            </w:r>
            <w:r w:rsidR="00D45EA9">
              <w:rPr>
                <w:noProof/>
                <w:webHidden/>
              </w:rPr>
              <w:fldChar w:fldCharType="begin"/>
            </w:r>
            <w:r w:rsidR="00D45EA9">
              <w:rPr>
                <w:noProof/>
                <w:webHidden/>
              </w:rPr>
              <w:instrText xml:space="preserve"> PAGEREF _Toc99301429 \h </w:instrText>
            </w:r>
            <w:r w:rsidR="00D45EA9">
              <w:rPr>
                <w:noProof/>
                <w:webHidden/>
              </w:rPr>
            </w:r>
            <w:r w:rsidR="00D45EA9">
              <w:rPr>
                <w:noProof/>
                <w:webHidden/>
              </w:rPr>
              <w:fldChar w:fldCharType="separate"/>
            </w:r>
            <w:r w:rsidR="00D45EA9">
              <w:rPr>
                <w:noProof/>
                <w:webHidden/>
              </w:rPr>
              <w:t>3</w:t>
            </w:r>
            <w:r w:rsidR="00D45EA9">
              <w:rPr>
                <w:noProof/>
                <w:webHidden/>
              </w:rPr>
              <w:fldChar w:fldCharType="end"/>
            </w:r>
          </w:hyperlink>
        </w:p>
        <w:p w14:paraId="06F1D0EF" w14:textId="2E0679C7" w:rsidR="00D45EA9" w:rsidRDefault="00140D00">
          <w:pPr>
            <w:pStyle w:val="TOC2"/>
            <w:tabs>
              <w:tab w:val="right" w:leader="dot" w:pos="9350"/>
            </w:tabs>
            <w:rPr>
              <w:rFonts w:eastAsiaTheme="minorEastAsia" w:cstheme="minorBidi"/>
              <w:b w:val="0"/>
              <w:bCs w:val="0"/>
              <w:noProof/>
              <w:sz w:val="24"/>
              <w:szCs w:val="24"/>
            </w:rPr>
          </w:pPr>
          <w:hyperlink w:anchor="_Toc99301430" w:history="1">
            <w:r w:rsidR="00D45EA9" w:rsidRPr="00DF7AE2">
              <w:rPr>
                <w:rStyle w:val="Hyperlink"/>
                <w:rFonts w:eastAsiaTheme="majorEastAsia"/>
                <w:noProof/>
              </w:rPr>
              <w:t>Indicators considered but not recommended for inclusion</w:t>
            </w:r>
            <w:r w:rsidR="00D45EA9">
              <w:rPr>
                <w:noProof/>
                <w:webHidden/>
              </w:rPr>
              <w:tab/>
            </w:r>
            <w:r w:rsidR="00D45EA9">
              <w:rPr>
                <w:noProof/>
                <w:webHidden/>
              </w:rPr>
              <w:fldChar w:fldCharType="begin"/>
            </w:r>
            <w:r w:rsidR="00D45EA9">
              <w:rPr>
                <w:noProof/>
                <w:webHidden/>
              </w:rPr>
              <w:instrText xml:space="preserve"> PAGEREF _Toc99301430 \h </w:instrText>
            </w:r>
            <w:r w:rsidR="00D45EA9">
              <w:rPr>
                <w:noProof/>
                <w:webHidden/>
              </w:rPr>
            </w:r>
            <w:r w:rsidR="00D45EA9">
              <w:rPr>
                <w:noProof/>
                <w:webHidden/>
              </w:rPr>
              <w:fldChar w:fldCharType="separate"/>
            </w:r>
            <w:r w:rsidR="00D45EA9">
              <w:rPr>
                <w:noProof/>
                <w:webHidden/>
              </w:rPr>
              <w:t>4</w:t>
            </w:r>
            <w:r w:rsidR="00D45EA9">
              <w:rPr>
                <w:noProof/>
                <w:webHidden/>
              </w:rPr>
              <w:fldChar w:fldCharType="end"/>
            </w:r>
          </w:hyperlink>
        </w:p>
        <w:p w14:paraId="05E91068" w14:textId="17AEF6AC" w:rsidR="00D45EA9" w:rsidRDefault="00140D00">
          <w:pPr>
            <w:pStyle w:val="TOC1"/>
            <w:tabs>
              <w:tab w:val="right" w:leader="dot" w:pos="9350"/>
            </w:tabs>
            <w:rPr>
              <w:rFonts w:eastAsiaTheme="minorEastAsia" w:cstheme="minorBidi"/>
              <w:b w:val="0"/>
              <w:bCs w:val="0"/>
              <w:i w:val="0"/>
              <w:iCs w:val="0"/>
              <w:noProof/>
            </w:rPr>
          </w:pPr>
          <w:hyperlink w:anchor="_Toc99301431" w:history="1">
            <w:r w:rsidR="00D45EA9" w:rsidRPr="00DF7AE2">
              <w:rPr>
                <w:rStyle w:val="Hyperlink"/>
                <w:rFonts w:eastAsiaTheme="majorEastAsia"/>
                <w:noProof/>
              </w:rPr>
              <w:t>References</w:t>
            </w:r>
            <w:r w:rsidR="00D45EA9">
              <w:rPr>
                <w:noProof/>
                <w:webHidden/>
              </w:rPr>
              <w:tab/>
            </w:r>
            <w:r w:rsidR="00D45EA9">
              <w:rPr>
                <w:noProof/>
                <w:webHidden/>
              </w:rPr>
              <w:fldChar w:fldCharType="begin"/>
            </w:r>
            <w:r w:rsidR="00D45EA9">
              <w:rPr>
                <w:noProof/>
                <w:webHidden/>
              </w:rPr>
              <w:instrText xml:space="preserve"> PAGEREF _Toc99301431 \h </w:instrText>
            </w:r>
            <w:r w:rsidR="00D45EA9">
              <w:rPr>
                <w:noProof/>
                <w:webHidden/>
              </w:rPr>
            </w:r>
            <w:r w:rsidR="00D45EA9">
              <w:rPr>
                <w:noProof/>
                <w:webHidden/>
              </w:rPr>
              <w:fldChar w:fldCharType="separate"/>
            </w:r>
            <w:r w:rsidR="00D45EA9">
              <w:rPr>
                <w:noProof/>
                <w:webHidden/>
              </w:rPr>
              <w:t>5</w:t>
            </w:r>
            <w:r w:rsidR="00D45EA9">
              <w:rPr>
                <w:noProof/>
                <w:webHidden/>
              </w:rPr>
              <w:fldChar w:fldCharType="end"/>
            </w:r>
          </w:hyperlink>
        </w:p>
        <w:p w14:paraId="0E80F5D2" w14:textId="5927265E" w:rsidR="003E49B2" w:rsidRDefault="003E49B2">
          <w:r>
            <w:rPr>
              <w:b/>
              <w:bCs/>
              <w:noProof/>
            </w:rPr>
            <w:fldChar w:fldCharType="end"/>
          </w:r>
        </w:p>
      </w:sdtContent>
    </w:sdt>
    <w:p w14:paraId="2599AE49" w14:textId="77777777" w:rsidR="003E49B2" w:rsidRDefault="003E49B2" w:rsidP="00BD7707">
      <w:pPr>
        <w:pStyle w:val="FootnoteText"/>
        <w:rPr>
          <w:sz w:val="22"/>
          <w:szCs w:val="22"/>
        </w:rPr>
      </w:pPr>
    </w:p>
    <w:p w14:paraId="47B59FF7" w14:textId="36321152" w:rsidR="008D42A4" w:rsidRPr="003E49B2" w:rsidRDefault="008D42A4" w:rsidP="00EB05CB">
      <w:pPr>
        <w:pStyle w:val="FootnoteText"/>
        <w:rPr>
          <w:rFonts w:asciiTheme="minorHAnsi" w:hAnsiTheme="minorHAnsi" w:cstheme="minorHAnsi"/>
          <w:sz w:val="24"/>
          <w:szCs w:val="24"/>
        </w:rPr>
      </w:pPr>
      <w:r w:rsidRPr="003E49B2">
        <w:rPr>
          <w:rFonts w:asciiTheme="minorHAnsi" w:hAnsiTheme="minorHAnsi" w:cstheme="minorHAnsi"/>
          <w:sz w:val="24"/>
          <w:szCs w:val="24"/>
        </w:rPr>
        <w:t>This document provides supplementary material for the Policy Brief, ‘</w:t>
      </w:r>
      <w:r w:rsidR="00D45EA9">
        <w:rPr>
          <w:rFonts w:asciiTheme="minorHAnsi" w:hAnsiTheme="minorHAnsi" w:cstheme="minorHAnsi"/>
          <w:i/>
          <w:iCs/>
          <w:sz w:val="24"/>
          <w:szCs w:val="24"/>
        </w:rPr>
        <w:t>Monitoring</w:t>
      </w:r>
      <w:r w:rsidRPr="003E49B2">
        <w:rPr>
          <w:rFonts w:asciiTheme="minorHAnsi" w:hAnsiTheme="minorHAnsi" w:cstheme="minorHAnsi"/>
          <w:i/>
          <w:iCs/>
          <w:sz w:val="24"/>
          <w:szCs w:val="24"/>
        </w:rPr>
        <w:t xml:space="preserve"> G20 </w:t>
      </w:r>
      <w:r w:rsidR="00D45EA9">
        <w:rPr>
          <w:rFonts w:asciiTheme="minorHAnsi" w:hAnsiTheme="minorHAnsi" w:cstheme="minorHAnsi"/>
          <w:i/>
          <w:iCs/>
          <w:sz w:val="24"/>
          <w:szCs w:val="24"/>
        </w:rPr>
        <w:t>contributions</w:t>
      </w:r>
      <w:r w:rsidRPr="003E49B2">
        <w:rPr>
          <w:rFonts w:asciiTheme="minorHAnsi" w:hAnsiTheme="minorHAnsi" w:cstheme="minorHAnsi"/>
          <w:i/>
          <w:iCs/>
          <w:sz w:val="24"/>
          <w:szCs w:val="24"/>
        </w:rPr>
        <w:t xml:space="preserve"> to </w:t>
      </w:r>
      <w:r w:rsidR="00D45EA9">
        <w:rPr>
          <w:rFonts w:asciiTheme="minorHAnsi" w:hAnsiTheme="minorHAnsi" w:cstheme="minorHAnsi"/>
          <w:i/>
          <w:iCs/>
          <w:sz w:val="24"/>
          <w:szCs w:val="24"/>
        </w:rPr>
        <w:t xml:space="preserve">global </w:t>
      </w:r>
      <w:r w:rsidRPr="003E49B2">
        <w:rPr>
          <w:rFonts w:asciiTheme="minorHAnsi" w:hAnsiTheme="minorHAnsi" w:cstheme="minorHAnsi"/>
          <w:i/>
          <w:iCs/>
          <w:sz w:val="24"/>
          <w:szCs w:val="24"/>
        </w:rPr>
        <w:t>Covid-19</w:t>
      </w:r>
      <w:r w:rsidR="00D45EA9">
        <w:rPr>
          <w:rFonts w:asciiTheme="minorHAnsi" w:hAnsiTheme="minorHAnsi" w:cstheme="minorHAnsi"/>
          <w:i/>
          <w:iCs/>
          <w:sz w:val="24"/>
          <w:szCs w:val="24"/>
        </w:rPr>
        <w:t xml:space="preserve"> health equity</w:t>
      </w:r>
      <w:r w:rsidRPr="003E49B2">
        <w:rPr>
          <w:rFonts w:asciiTheme="minorHAnsi" w:hAnsiTheme="minorHAnsi" w:cstheme="minorHAnsi"/>
          <w:i/>
          <w:iCs/>
          <w:sz w:val="24"/>
          <w:szCs w:val="24"/>
        </w:rPr>
        <w:t xml:space="preserve">: </w:t>
      </w:r>
      <w:r w:rsidR="00D45EA9">
        <w:rPr>
          <w:rFonts w:asciiTheme="minorHAnsi" w:hAnsiTheme="minorHAnsi" w:cstheme="minorHAnsi"/>
          <w:i/>
          <w:iCs/>
          <w:sz w:val="24"/>
          <w:szCs w:val="24"/>
        </w:rPr>
        <w:t>i</w:t>
      </w:r>
      <w:r w:rsidRPr="003E49B2">
        <w:rPr>
          <w:rFonts w:asciiTheme="minorHAnsi" w:hAnsiTheme="minorHAnsi" w:cstheme="minorHAnsi"/>
          <w:i/>
          <w:iCs/>
          <w:sz w:val="24"/>
          <w:szCs w:val="24"/>
        </w:rPr>
        <w:t xml:space="preserve">ssues and </w:t>
      </w:r>
      <w:r w:rsidR="00D45EA9">
        <w:rPr>
          <w:rFonts w:asciiTheme="minorHAnsi" w:hAnsiTheme="minorHAnsi" w:cstheme="minorHAnsi"/>
          <w:i/>
          <w:iCs/>
          <w:sz w:val="24"/>
          <w:szCs w:val="24"/>
        </w:rPr>
        <w:t>o</w:t>
      </w:r>
      <w:r w:rsidRPr="003E49B2">
        <w:rPr>
          <w:rFonts w:asciiTheme="minorHAnsi" w:hAnsiTheme="minorHAnsi" w:cstheme="minorHAnsi"/>
          <w:i/>
          <w:iCs/>
          <w:sz w:val="24"/>
          <w:szCs w:val="24"/>
        </w:rPr>
        <w:t>ptions</w:t>
      </w:r>
      <w:r w:rsidRPr="003E49B2">
        <w:rPr>
          <w:rFonts w:asciiTheme="minorHAnsi" w:hAnsiTheme="minorHAnsi" w:cstheme="minorHAnsi"/>
          <w:sz w:val="24"/>
          <w:szCs w:val="24"/>
        </w:rPr>
        <w:t xml:space="preserve">’. </w:t>
      </w:r>
      <w:r w:rsidR="00EB05CB">
        <w:rPr>
          <w:rFonts w:asciiTheme="minorHAnsi" w:hAnsiTheme="minorHAnsi" w:cstheme="minorHAnsi"/>
          <w:sz w:val="24"/>
          <w:szCs w:val="24"/>
        </w:rPr>
        <w:t>For each dimension, we outline</w:t>
      </w:r>
      <w:r w:rsidRPr="003E49B2">
        <w:rPr>
          <w:rFonts w:asciiTheme="minorHAnsi" w:hAnsiTheme="minorHAnsi" w:cstheme="minorHAnsi"/>
          <w:sz w:val="24"/>
          <w:szCs w:val="24"/>
        </w:rPr>
        <w:t xml:space="preserve"> the sources and construction of each indicator we propose to measure country responses toward global Covid-19 health equity; and </w:t>
      </w:r>
      <w:r w:rsidR="00EB05CB">
        <w:rPr>
          <w:rFonts w:asciiTheme="minorHAnsi" w:hAnsiTheme="minorHAnsi" w:cstheme="minorHAnsi"/>
          <w:sz w:val="24"/>
          <w:szCs w:val="24"/>
        </w:rPr>
        <w:t>discuss other shortlisted indicators that were ultimately not included in the final proposal.</w:t>
      </w:r>
    </w:p>
    <w:p w14:paraId="51941BDE" w14:textId="32694FAE" w:rsidR="00F638AC" w:rsidRDefault="00F638AC" w:rsidP="00BD7707">
      <w:pPr>
        <w:pStyle w:val="FootnoteText"/>
        <w:rPr>
          <w:sz w:val="22"/>
          <w:szCs w:val="22"/>
        </w:rPr>
      </w:pPr>
    </w:p>
    <w:p w14:paraId="0D2286CD" w14:textId="22F6352C" w:rsidR="008D42A4" w:rsidRDefault="008D42A4" w:rsidP="00B7724E">
      <w:pPr>
        <w:pStyle w:val="Heading1"/>
        <w:numPr>
          <w:ilvl w:val="0"/>
          <w:numId w:val="9"/>
        </w:numPr>
      </w:pPr>
      <w:bookmarkStart w:id="0" w:name="_Toc99301426"/>
      <w:r>
        <w:t>Sources and construction of the indicators proposed to measure country responses toward global Covid-19 health equity</w:t>
      </w:r>
      <w:bookmarkEnd w:id="0"/>
    </w:p>
    <w:p w14:paraId="362F6AEE" w14:textId="77777777" w:rsidR="008D42A4" w:rsidRDefault="008D42A4" w:rsidP="00BD7707">
      <w:pPr>
        <w:pStyle w:val="FootnoteText"/>
        <w:rPr>
          <w:sz w:val="22"/>
          <w:szCs w:val="22"/>
        </w:rPr>
      </w:pPr>
    </w:p>
    <w:p w14:paraId="07BE1C2D" w14:textId="164F3331" w:rsidR="00F638AC" w:rsidRPr="00EF172F" w:rsidRDefault="00F638AC" w:rsidP="008D42A4">
      <w:pPr>
        <w:pStyle w:val="Heading2"/>
      </w:pPr>
      <w:bookmarkStart w:id="1" w:name="_Toc99301427"/>
      <w:r w:rsidRPr="00EF172F">
        <w:t xml:space="preserve">Dimension 1: </w:t>
      </w:r>
      <w:r w:rsidR="00E46797" w:rsidRPr="00E46797">
        <w:t xml:space="preserve">Financing vaccines, </w:t>
      </w:r>
      <w:proofErr w:type="gramStart"/>
      <w:r w:rsidR="00E46797" w:rsidRPr="00E46797">
        <w:t>testing</w:t>
      </w:r>
      <w:proofErr w:type="gramEnd"/>
      <w:r w:rsidR="00E46797" w:rsidRPr="00E46797">
        <w:t xml:space="preserve"> and therapeutics</w:t>
      </w:r>
      <w:bookmarkEnd w:id="1"/>
    </w:p>
    <w:p w14:paraId="5C677346" w14:textId="77777777" w:rsidR="00F638AC" w:rsidRDefault="00F638AC" w:rsidP="00BD7707">
      <w:pPr>
        <w:pStyle w:val="FootnoteText"/>
        <w:rPr>
          <w:sz w:val="22"/>
          <w:szCs w:val="22"/>
        </w:rPr>
      </w:pPr>
    </w:p>
    <w:p w14:paraId="55D05895" w14:textId="7B246965" w:rsidR="004402FE" w:rsidRPr="0065250E" w:rsidRDefault="00F638AC" w:rsidP="0065250E">
      <w:pPr>
        <w:pStyle w:val="Pa13"/>
        <w:rPr>
          <w:rFonts w:ascii="Times New Roman" w:hAnsi="Times New Roman" w:cs="Times New Roman"/>
          <w:b/>
          <w:bCs/>
          <w:color w:val="000000"/>
        </w:rPr>
      </w:pPr>
      <w:r w:rsidRPr="0065250E">
        <w:rPr>
          <w:rFonts w:ascii="Times New Roman" w:hAnsi="Times New Roman" w:cs="Times New Roman"/>
          <w:u w:val="single"/>
        </w:rPr>
        <w:t>Indicator</w:t>
      </w:r>
      <w:r w:rsidR="003E49B2" w:rsidRPr="0065250E">
        <w:rPr>
          <w:rFonts w:ascii="Times New Roman" w:hAnsi="Times New Roman" w:cs="Times New Roman"/>
          <w:u w:val="single"/>
        </w:rPr>
        <w:t xml:space="preserve"> 1.1</w:t>
      </w:r>
      <w:r w:rsidRPr="0065250E">
        <w:rPr>
          <w:rFonts w:ascii="Times New Roman" w:hAnsi="Times New Roman" w:cs="Times New Roman"/>
        </w:rPr>
        <w:t>:</w:t>
      </w:r>
      <w:r w:rsidRPr="0065250E">
        <w:rPr>
          <w:rFonts w:ascii="Times New Roman" w:hAnsi="Times New Roman" w:cs="Times New Roman"/>
          <w:b/>
          <w:bCs/>
        </w:rPr>
        <w:t xml:space="preserve"> </w:t>
      </w:r>
      <w:r w:rsidR="0065250E" w:rsidRPr="0065250E">
        <w:rPr>
          <w:rFonts w:ascii="Times New Roman" w:hAnsi="Times New Roman" w:cs="Times New Roman"/>
          <w:b/>
          <w:bCs/>
          <w:i/>
          <w:iCs/>
          <w:color w:val="000000"/>
        </w:rPr>
        <w:t>Contributions to ACT-A 2020–21 and 2021-22 funding rounds as percentage of fair share</w:t>
      </w:r>
      <w:r w:rsidR="0065250E" w:rsidRPr="0065250E">
        <w:rPr>
          <w:rFonts w:ascii="Times New Roman" w:hAnsi="Times New Roman" w:cs="Times New Roman"/>
          <w:b/>
          <w:bCs/>
          <w:color w:val="000000"/>
        </w:rPr>
        <w:t xml:space="preserve"> </w:t>
      </w:r>
    </w:p>
    <w:p w14:paraId="0C6A87C8" w14:textId="6DE7C152" w:rsidR="004402FE" w:rsidRDefault="004402FE" w:rsidP="00BD7707">
      <w:pPr>
        <w:pStyle w:val="FootnoteText"/>
        <w:rPr>
          <w:sz w:val="22"/>
          <w:szCs w:val="22"/>
        </w:rPr>
      </w:pPr>
    </w:p>
    <w:p w14:paraId="08057888" w14:textId="77777777" w:rsidR="004402FE" w:rsidRPr="00EF172F" w:rsidRDefault="004402FE" w:rsidP="003E49B2">
      <w:pPr>
        <w:rPr>
          <w:sz w:val="42"/>
          <w:szCs w:val="42"/>
        </w:rPr>
      </w:pPr>
      <w:r w:rsidRPr="00EF172F">
        <w:rPr>
          <w:u w:val="single"/>
        </w:rPr>
        <w:t>Sources:</w:t>
      </w:r>
      <w:r w:rsidRPr="00EF172F">
        <w:t xml:space="preserve"> </w:t>
      </w:r>
      <w:hyperlink r:id="rId8" w:history="1">
        <w:r w:rsidRPr="00EF172F">
          <w:rPr>
            <w:rStyle w:val="Hyperlink"/>
          </w:rPr>
          <w:t>Access to COVID-19 tools funding commitment tracker (29 October 2021)</w:t>
        </w:r>
      </w:hyperlink>
      <w:r w:rsidRPr="00EF172F">
        <w:t xml:space="preserve">; </w:t>
      </w:r>
      <w:hyperlink r:id="rId9" w:history="1">
        <w:r w:rsidRPr="00EF172F">
          <w:rPr>
            <w:rStyle w:val="Hyperlink"/>
          </w:rPr>
          <w:t>Access to COVID-19 tools funding commitment tracker</w:t>
        </w:r>
      </w:hyperlink>
      <w:r w:rsidRPr="00EF172F">
        <w:t xml:space="preserve"> (2021/22); </w:t>
      </w:r>
      <w:hyperlink r:id="rId10" w:anchor=":~:text=8th%20Facilitation%20Council,act%2Daccelerator%20%E2%80%BA%203_f..." w:history="1">
        <w:r w:rsidRPr="00EF172F">
          <w:rPr>
            <w:rStyle w:val="Hyperlink"/>
          </w:rPr>
          <w:t>ACT 8</w:t>
        </w:r>
        <w:r w:rsidRPr="00EF172F">
          <w:rPr>
            <w:rStyle w:val="Hyperlink"/>
            <w:vertAlign w:val="superscript"/>
          </w:rPr>
          <w:t>th</w:t>
        </w:r>
        <w:r w:rsidRPr="00EF172F">
          <w:rPr>
            <w:rStyle w:val="Hyperlink"/>
          </w:rPr>
          <w:t xml:space="preserve"> Facilitation Council Financing Framework</w:t>
        </w:r>
      </w:hyperlink>
      <w:r w:rsidRPr="00EF172F">
        <w:t xml:space="preserve"> (9 Dec 2021). </w:t>
      </w:r>
    </w:p>
    <w:p w14:paraId="54EDAAEF" w14:textId="77777777" w:rsidR="004402FE" w:rsidRPr="00EF172F" w:rsidRDefault="004402FE" w:rsidP="004402FE">
      <w:pPr>
        <w:rPr>
          <w:u w:val="single"/>
        </w:rPr>
      </w:pPr>
    </w:p>
    <w:p w14:paraId="185CDD19" w14:textId="235BDB9A" w:rsidR="000038BE" w:rsidRDefault="004402FE" w:rsidP="004402FE">
      <w:r w:rsidRPr="00EF172F">
        <w:rPr>
          <w:u w:val="single"/>
        </w:rPr>
        <w:t>Construction:</w:t>
      </w:r>
      <w:r w:rsidRPr="00EF172F">
        <w:t xml:space="preserve"> The ACT-A commitment tracker provides data on public pledges as a percentage of each donor’s fair share</w:t>
      </w:r>
      <w:r w:rsidR="0086514A">
        <w:t xml:space="preserve"> </w:t>
      </w:r>
      <w:r w:rsidR="000038BE">
        <w:t xml:space="preserve">for 2020/21 and 2011/22 funding rounds </w:t>
      </w:r>
      <w:r w:rsidR="0086514A">
        <w:t>(ACT-A 2021a</w:t>
      </w:r>
      <w:r w:rsidR="000038BE">
        <w:t xml:space="preserve">, </w:t>
      </w:r>
      <w:r w:rsidR="000038BE" w:rsidRPr="00EF172F">
        <w:t>ACT-A 2021</w:t>
      </w:r>
      <w:r w:rsidR="000038BE">
        <w:t>b</w:t>
      </w:r>
      <w:r w:rsidR="0086514A">
        <w:t>)</w:t>
      </w:r>
      <w:r w:rsidRPr="00EF172F">
        <w:t xml:space="preserve">. </w:t>
      </w:r>
      <w:r w:rsidR="000038BE">
        <w:t xml:space="preserve">This indicator is computed </w:t>
      </w:r>
      <w:r w:rsidRPr="00EF172F">
        <w:t xml:space="preserve">based on pledges </w:t>
      </w:r>
      <w:r w:rsidR="000038BE">
        <w:t xml:space="preserve">made to the 2020/21 round and those made </w:t>
      </w:r>
      <w:r w:rsidRPr="00EF172F">
        <w:t xml:space="preserve">to the 2021/22 round as of </w:t>
      </w:r>
      <w:r w:rsidR="00F51AD2">
        <w:t>18 March</w:t>
      </w:r>
      <w:r w:rsidR="000038BE">
        <w:t xml:space="preserve"> 2022.</w:t>
      </w:r>
      <w:r w:rsidRPr="00EF172F">
        <w:t xml:space="preserve"> </w:t>
      </w:r>
    </w:p>
    <w:p w14:paraId="26344124" w14:textId="4649CD7C" w:rsidR="00B0206A" w:rsidRDefault="000038BE" w:rsidP="004402FE">
      <w:r>
        <w:t xml:space="preserve"> </w:t>
      </w:r>
    </w:p>
    <w:p w14:paraId="359BB3FA" w14:textId="55B7CF11" w:rsidR="00B0206A" w:rsidRPr="00EF172F" w:rsidRDefault="00B0206A" w:rsidP="004402FE">
      <w:pPr>
        <w:rPr>
          <w:u w:val="single"/>
        </w:rPr>
      </w:pPr>
      <w:r w:rsidRPr="00B0206A">
        <w:rPr>
          <w:u w:val="single"/>
        </w:rPr>
        <w:t xml:space="preserve">Note: </w:t>
      </w:r>
      <w:r w:rsidRPr="00B0206A">
        <w:t xml:space="preserve">The ACT Financial Working Group determines countries’ fair shares: ‘The fair share is determined based on each country’s income level (GDP) and economic openness. It is adjusted to also </w:t>
      </w:r>
      <w:proofErr w:type="gramStart"/>
      <w:r w:rsidRPr="00B0206A">
        <w:t>take into account</w:t>
      </w:r>
      <w:proofErr w:type="gramEnd"/>
      <w:r w:rsidRPr="00B0206A">
        <w:t xml:space="preserve"> each country’s GDP per capita, so that countries with the highest levels </w:t>
      </w:r>
      <w:r w:rsidRPr="00B0206A">
        <w:lastRenderedPageBreak/>
        <w:t>of income per capita bear a higher contribution. Finally, to collectively reduce the risk of under-contribution by some countries, each country’s fair share is increased by 20%’ (Kanter 2021).</w:t>
      </w:r>
    </w:p>
    <w:p w14:paraId="6EF0536F" w14:textId="14BDB1DA" w:rsidR="004402FE" w:rsidRDefault="004402FE" w:rsidP="00BD7707">
      <w:pPr>
        <w:pStyle w:val="FootnoteText"/>
        <w:rPr>
          <w:sz w:val="22"/>
          <w:szCs w:val="22"/>
        </w:rPr>
      </w:pPr>
    </w:p>
    <w:p w14:paraId="6CF9E37A" w14:textId="6618F1C8" w:rsidR="00F638AC" w:rsidRDefault="00F638AC" w:rsidP="00BD7707">
      <w:pPr>
        <w:pStyle w:val="FootnoteText"/>
        <w:rPr>
          <w:sz w:val="22"/>
          <w:szCs w:val="22"/>
        </w:rPr>
      </w:pPr>
    </w:p>
    <w:p w14:paraId="77823E00" w14:textId="394FC7A6" w:rsidR="009F1C06" w:rsidRDefault="009F1C06" w:rsidP="009F1C06">
      <w:pPr>
        <w:rPr>
          <w:b/>
          <w:bCs/>
          <w:lang w:val="en-GB"/>
        </w:rPr>
      </w:pPr>
      <w:r w:rsidRPr="00707E9A">
        <w:rPr>
          <w:u w:val="single"/>
          <w:lang w:val="en-GB"/>
        </w:rPr>
        <w:t xml:space="preserve">Indicator </w:t>
      </w:r>
      <w:r>
        <w:rPr>
          <w:u w:val="single"/>
          <w:lang w:val="en-GB"/>
        </w:rPr>
        <w:t>1.2</w:t>
      </w:r>
      <w:r w:rsidRPr="00707E9A">
        <w:rPr>
          <w:u w:val="single"/>
          <w:lang w:val="en-GB"/>
        </w:rPr>
        <w:t>:</w:t>
      </w:r>
      <w:r w:rsidRPr="00707E9A">
        <w:rPr>
          <w:lang w:val="en-GB"/>
        </w:rPr>
        <w:t xml:space="preserve"> </w:t>
      </w:r>
      <w:r>
        <w:rPr>
          <w:b/>
          <w:bCs/>
          <w:lang w:val="en-GB"/>
        </w:rPr>
        <w:t>Share of</w:t>
      </w:r>
      <w:r w:rsidR="00653967">
        <w:rPr>
          <w:b/>
          <w:bCs/>
          <w:lang w:val="en-GB"/>
        </w:rPr>
        <w:t xml:space="preserve"> G20</w:t>
      </w:r>
      <w:r>
        <w:rPr>
          <w:b/>
          <w:bCs/>
          <w:lang w:val="en-GB"/>
        </w:rPr>
        <w:t xml:space="preserve"> d</w:t>
      </w:r>
      <w:r w:rsidRPr="00707E9A">
        <w:rPr>
          <w:b/>
          <w:bCs/>
          <w:lang w:val="en-GB"/>
        </w:rPr>
        <w:t xml:space="preserve">evelopment assistance </w:t>
      </w:r>
      <w:r w:rsidR="00653967">
        <w:rPr>
          <w:b/>
          <w:bCs/>
          <w:lang w:val="en-GB"/>
        </w:rPr>
        <w:t>in 2020 f</w:t>
      </w:r>
      <w:r w:rsidRPr="00707E9A">
        <w:rPr>
          <w:b/>
          <w:bCs/>
          <w:lang w:val="en-GB"/>
        </w:rPr>
        <w:t xml:space="preserve">or </w:t>
      </w:r>
      <w:r w:rsidR="00653967">
        <w:rPr>
          <w:b/>
          <w:bCs/>
          <w:lang w:val="en-GB"/>
        </w:rPr>
        <w:t xml:space="preserve">the </w:t>
      </w:r>
      <w:r w:rsidRPr="00707E9A">
        <w:rPr>
          <w:b/>
          <w:bCs/>
          <w:lang w:val="en-GB"/>
        </w:rPr>
        <w:t xml:space="preserve">health </w:t>
      </w:r>
      <w:r>
        <w:rPr>
          <w:b/>
          <w:bCs/>
          <w:lang w:val="en-GB"/>
        </w:rPr>
        <w:t>response</w:t>
      </w:r>
      <w:r w:rsidRPr="00707E9A">
        <w:rPr>
          <w:b/>
          <w:bCs/>
          <w:lang w:val="en-GB"/>
        </w:rPr>
        <w:t xml:space="preserve"> to Covid</w:t>
      </w:r>
      <w:r w:rsidR="00653967">
        <w:rPr>
          <w:b/>
          <w:bCs/>
          <w:lang w:val="en-GB"/>
        </w:rPr>
        <w:t>-19</w:t>
      </w:r>
      <w:r w:rsidRPr="00707E9A">
        <w:rPr>
          <w:b/>
          <w:bCs/>
          <w:lang w:val="en-GB"/>
        </w:rPr>
        <w:t xml:space="preserve"> relative to </w:t>
      </w:r>
      <w:r>
        <w:rPr>
          <w:b/>
          <w:bCs/>
          <w:lang w:val="en-GB"/>
        </w:rPr>
        <w:t xml:space="preserve">share in </w:t>
      </w:r>
      <w:r w:rsidR="00653967">
        <w:rPr>
          <w:b/>
          <w:bCs/>
          <w:lang w:val="en-GB"/>
        </w:rPr>
        <w:t xml:space="preserve">G20 </w:t>
      </w:r>
      <w:r>
        <w:rPr>
          <w:b/>
          <w:bCs/>
          <w:lang w:val="en-GB"/>
        </w:rPr>
        <w:t>GNI</w:t>
      </w:r>
      <w:r w:rsidR="00F51AD2">
        <w:rPr>
          <w:b/>
          <w:bCs/>
          <w:lang w:val="en-GB"/>
        </w:rPr>
        <w:t xml:space="preserve"> </w:t>
      </w:r>
    </w:p>
    <w:p w14:paraId="65702346" w14:textId="77777777" w:rsidR="00F51AD2" w:rsidRDefault="00F51AD2" w:rsidP="009F1C06">
      <w:pPr>
        <w:rPr>
          <w:b/>
          <w:bCs/>
          <w:lang w:val="en-GB"/>
        </w:rPr>
      </w:pPr>
    </w:p>
    <w:p w14:paraId="023C5088" w14:textId="2A91072C" w:rsidR="009F1C06" w:rsidRPr="009F1C06" w:rsidRDefault="009F1C06" w:rsidP="009F1C06">
      <w:pPr>
        <w:rPr>
          <w:lang w:val="en-GB"/>
        </w:rPr>
      </w:pPr>
      <w:r w:rsidRPr="009F1C06">
        <w:rPr>
          <w:u w:val="single"/>
          <w:lang w:val="en-GB"/>
        </w:rPr>
        <w:t>Sources</w:t>
      </w:r>
      <w:r w:rsidRPr="009F1C06">
        <w:rPr>
          <w:lang w:val="en-GB"/>
        </w:rPr>
        <w:t xml:space="preserve">: </w:t>
      </w:r>
      <w:r w:rsidRPr="00F857ED">
        <w:t>Global Burden of Disease 2020 Health Financing Collaborator Network (2021)</w:t>
      </w:r>
      <w:r>
        <w:t>, supplemented by disaggregated country-level data provided by Ian Cogswell (IHME); GNI</w:t>
      </w:r>
      <w:r w:rsidR="000038BE">
        <w:t xml:space="preserve"> </w:t>
      </w:r>
      <w:r>
        <w:t xml:space="preserve">data is from </w:t>
      </w:r>
      <w:r w:rsidRPr="009F1C06">
        <w:t>World Development Indicators</w:t>
      </w:r>
    </w:p>
    <w:p w14:paraId="6CB85ADA" w14:textId="77777777" w:rsidR="009F1C06" w:rsidRDefault="009F1C06" w:rsidP="00BD7707">
      <w:pPr>
        <w:pStyle w:val="FootnoteText"/>
        <w:rPr>
          <w:sz w:val="22"/>
          <w:szCs w:val="22"/>
        </w:rPr>
      </w:pPr>
    </w:p>
    <w:p w14:paraId="0D54057C" w14:textId="1826A43B" w:rsidR="009F1C06" w:rsidRPr="009F1C06" w:rsidRDefault="009F1C06" w:rsidP="009F1C06">
      <w:pPr>
        <w:rPr>
          <w:u w:val="single"/>
        </w:rPr>
      </w:pPr>
      <w:r w:rsidRPr="009F1C06">
        <w:rPr>
          <w:u w:val="single"/>
        </w:rPr>
        <w:t xml:space="preserve">Construction: </w:t>
      </w:r>
      <w:r w:rsidRPr="009F1C06">
        <w:t>For each country, we measure the amount of development assistance targeted towards Covid-19 health response as a share of the total G20 contribution, scaled by each country’s Gross National Income (GNI) as a share of total G20 GNI.</w:t>
      </w:r>
    </w:p>
    <w:p w14:paraId="56DC3890" w14:textId="1489C740" w:rsidR="009F1C06" w:rsidRDefault="009F1C06" w:rsidP="00BD7707">
      <w:pPr>
        <w:pStyle w:val="FootnoteText"/>
        <w:rPr>
          <w:sz w:val="22"/>
          <w:szCs w:val="22"/>
        </w:rPr>
      </w:pPr>
    </w:p>
    <w:p w14:paraId="04AD9C19" w14:textId="77777777" w:rsidR="009F1C06" w:rsidRDefault="009F1C06" w:rsidP="00BD7707">
      <w:pPr>
        <w:pStyle w:val="FootnoteText"/>
        <w:rPr>
          <w:sz w:val="22"/>
          <w:szCs w:val="22"/>
        </w:rPr>
      </w:pPr>
    </w:p>
    <w:p w14:paraId="27191617" w14:textId="3DC0F0B9" w:rsidR="00F638AC" w:rsidRPr="009E3192" w:rsidRDefault="00F638AC" w:rsidP="008D42A4">
      <w:pPr>
        <w:pStyle w:val="Heading2"/>
      </w:pPr>
      <w:bookmarkStart w:id="2" w:name="_Toc99301428"/>
      <w:r w:rsidRPr="009E3192">
        <w:t xml:space="preserve">Dimension 2: </w:t>
      </w:r>
      <w:r w:rsidR="00E46797" w:rsidRPr="00E46797">
        <w:t>Procurement and sharing of vaccine doses</w:t>
      </w:r>
      <w:bookmarkEnd w:id="2"/>
    </w:p>
    <w:p w14:paraId="085497B9" w14:textId="304D588B" w:rsidR="00F638AC" w:rsidRDefault="00F638AC" w:rsidP="00BD7707">
      <w:pPr>
        <w:pStyle w:val="FootnoteText"/>
        <w:rPr>
          <w:sz w:val="22"/>
          <w:szCs w:val="22"/>
        </w:rPr>
      </w:pPr>
    </w:p>
    <w:p w14:paraId="1FC73C54" w14:textId="0E75A3B2" w:rsidR="00F638AC" w:rsidRPr="00EF172F" w:rsidRDefault="00F638AC" w:rsidP="00F638AC">
      <w:pPr>
        <w:rPr>
          <w:b/>
          <w:bCs/>
          <w:i/>
          <w:iCs/>
        </w:rPr>
      </w:pPr>
      <w:r w:rsidRPr="00EF172F">
        <w:rPr>
          <w:u w:val="single"/>
        </w:rPr>
        <w:t xml:space="preserve">Indicator </w:t>
      </w:r>
      <w:r w:rsidR="003E49B2">
        <w:rPr>
          <w:u w:val="single"/>
        </w:rPr>
        <w:t>2.</w:t>
      </w:r>
      <w:r w:rsidRPr="00EF172F">
        <w:rPr>
          <w:u w:val="single"/>
        </w:rPr>
        <w:t xml:space="preserve">1: </w:t>
      </w:r>
      <w:r w:rsidRPr="00EF172F">
        <w:rPr>
          <w:b/>
          <w:bCs/>
          <w:i/>
          <w:iCs/>
        </w:rPr>
        <w:t xml:space="preserve">Total share of the global vaccine supply procured by each G20 </w:t>
      </w:r>
      <w:r w:rsidR="00653967">
        <w:rPr>
          <w:b/>
          <w:bCs/>
          <w:i/>
          <w:iCs/>
        </w:rPr>
        <w:t>country</w:t>
      </w:r>
      <w:r w:rsidRPr="00EF172F">
        <w:rPr>
          <w:b/>
          <w:bCs/>
          <w:i/>
          <w:iCs/>
        </w:rPr>
        <w:t xml:space="preserve"> relative to its share in the global population (%)</w:t>
      </w:r>
    </w:p>
    <w:p w14:paraId="2DB20219" w14:textId="210740B7" w:rsidR="00F638AC" w:rsidRDefault="00F638AC" w:rsidP="00BD7707">
      <w:pPr>
        <w:pStyle w:val="FootnoteText"/>
        <w:rPr>
          <w:sz w:val="22"/>
          <w:szCs w:val="22"/>
        </w:rPr>
      </w:pPr>
    </w:p>
    <w:p w14:paraId="6162672B" w14:textId="77777777" w:rsidR="00F638AC" w:rsidRPr="00EF172F" w:rsidRDefault="00F638AC" w:rsidP="00F638AC">
      <w:pPr>
        <w:rPr>
          <w:u w:val="single"/>
        </w:rPr>
      </w:pPr>
      <w:r w:rsidRPr="00EF172F">
        <w:rPr>
          <w:u w:val="single"/>
        </w:rPr>
        <w:t xml:space="preserve">Source: </w:t>
      </w:r>
      <w:hyperlink r:id="rId11" w:history="1">
        <w:r w:rsidRPr="00EF172F">
          <w:rPr>
            <w:rStyle w:val="Hyperlink"/>
          </w:rPr>
          <w:t>IMF-WHO COVID-19 Vaccine Supply Tracker</w:t>
        </w:r>
      </w:hyperlink>
    </w:p>
    <w:p w14:paraId="171CC586" w14:textId="77777777" w:rsidR="00F638AC" w:rsidRPr="00EF172F" w:rsidRDefault="00F638AC" w:rsidP="00F638AC"/>
    <w:p w14:paraId="45D2648B" w14:textId="794E1C2E" w:rsidR="00F638AC" w:rsidRDefault="00F638AC" w:rsidP="00F638AC">
      <w:r w:rsidRPr="00EF172F">
        <w:rPr>
          <w:u w:val="single"/>
        </w:rPr>
        <w:t>Construction:</w:t>
      </w:r>
      <w:r w:rsidRPr="00EF172F">
        <w:t xml:space="preserve"> We compute the share of the global vaccine supply each G20 procured as of </w:t>
      </w:r>
      <w:r w:rsidR="00F51AD2">
        <w:t>17 March 2022</w:t>
      </w:r>
      <w:r w:rsidRPr="00EF172F">
        <w:t>, relative to its share in the global population.</w:t>
      </w:r>
      <w:r w:rsidR="00F51AD2">
        <w:t xml:space="preserve"> This includes secured doses through supply agreements, </w:t>
      </w:r>
      <w:r w:rsidR="000270CD">
        <w:t>domestic production and any donations received – but not optioned doses.</w:t>
      </w:r>
    </w:p>
    <w:p w14:paraId="60FD71F3" w14:textId="77777777" w:rsidR="00FC4BCD" w:rsidRPr="00EF172F" w:rsidRDefault="00FC4BCD" w:rsidP="00F638AC"/>
    <w:p w14:paraId="5F8306FC" w14:textId="06A82D68" w:rsidR="00F638AC" w:rsidRDefault="00F638AC" w:rsidP="00F638AC">
      <w:pPr>
        <w:rPr>
          <w:u w:val="single"/>
        </w:rPr>
      </w:pPr>
    </w:p>
    <w:p w14:paraId="1F067340" w14:textId="1892DA23" w:rsidR="00F638AC" w:rsidRPr="00653967" w:rsidRDefault="00F638AC" w:rsidP="00653967">
      <w:pPr>
        <w:pStyle w:val="Pa13"/>
        <w:rPr>
          <w:rFonts w:ascii="Times New Roman" w:hAnsi="Times New Roman" w:cs="Times New Roman"/>
          <w:color w:val="000000"/>
        </w:rPr>
      </w:pPr>
      <w:r w:rsidRPr="00653967">
        <w:rPr>
          <w:rFonts w:ascii="Times New Roman" w:hAnsi="Times New Roman" w:cs="Times New Roman"/>
          <w:u w:val="single"/>
        </w:rPr>
        <w:t>Indicator 2</w:t>
      </w:r>
      <w:r w:rsidR="003E49B2" w:rsidRPr="00653967">
        <w:rPr>
          <w:rFonts w:ascii="Times New Roman" w:hAnsi="Times New Roman" w:cs="Times New Roman"/>
          <w:u w:val="single"/>
        </w:rPr>
        <w:t>.2</w:t>
      </w:r>
      <w:r w:rsidRPr="00653967">
        <w:rPr>
          <w:rFonts w:ascii="Times New Roman" w:hAnsi="Times New Roman" w:cs="Times New Roman"/>
          <w:u w:val="single"/>
        </w:rPr>
        <w:t xml:space="preserve">: </w:t>
      </w:r>
      <w:r w:rsidR="00653967" w:rsidRPr="00653967">
        <w:rPr>
          <w:rFonts w:ascii="Times New Roman" w:hAnsi="Times New Roman" w:cs="Times New Roman"/>
          <w:b/>
          <w:bCs/>
          <w:i/>
          <w:iCs/>
          <w:color w:val="000000"/>
        </w:rPr>
        <w:t>Share of surplus vaccines each country has donated to COVAX/AVAT or bilaterally (%)</w:t>
      </w:r>
      <w:r w:rsidR="00653967" w:rsidRPr="00653967">
        <w:rPr>
          <w:rFonts w:ascii="Times New Roman" w:hAnsi="Times New Roman" w:cs="Times New Roman"/>
          <w:color w:val="000000"/>
        </w:rPr>
        <w:t xml:space="preserve"> </w:t>
      </w:r>
    </w:p>
    <w:p w14:paraId="34755ECC" w14:textId="77777777" w:rsidR="00F638AC" w:rsidRPr="00EF172F" w:rsidRDefault="00F638AC" w:rsidP="00F638AC"/>
    <w:p w14:paraId="15C29686" w14:textId="77777777" w:rsidR="00F638AC" w:rsidRDefault="00F638AC" w:rsidP="00F638AC">
      <w:r w:rsidRPr="00EF172F">
        <w:rPr>
          <w:u w:val="single"/>
        </w:rPr>
        <w:t>Source:</w:t>
      </w:r>
      <w:r w:rsidRPr="00EF172F">
        <w:t xml:space="preserve"> </w:t>
      </w:r>
      <w:hyperlink r:id="rId12" w:history="1">
        <w:r w:rsidRPr="00EF172F">
          <w:rPr>
            <w:rStyle w:val="Hyperlink"/>
          </w:rPr>
          <w:t>UNICEF Covid Vaccine Market Dashboard</w:t>
        </w:r>
      </w:hyperlink>
      <w:r w:rsidRPr="00EF172F">
        <w:t xml:space="preserve"> and </w:t>
      </w:r>
      <w:hyperlink r:id="rId13" w:history="1">
        <w:r w:rsidRPr="00EF172F">
          <w:rPr>
            <w:rStyle w:val="Hyperlink"/>
          </w:rPr>
          <w:t>IMF-WHO COVID-19 Vaccine Supply Tracker</w:t>
        </w:r>
      </w:hyperlink>
      <w:r w:rsidRPr="00EF172F">
        <w:t xml:space="preserve">. </w:t>
      </w:r>
    </w:p>
    <w:p w14:paraId="6515410F" w14:textId="77777777" w:rsidR="00F638AC" w:rsidRPr="00EF172F" w:rsidRDefault="00F638AC" w:rsidP="00F638AC"/>
    <w:p w14:paraId="7B6DC6FE" w14:textId="0907DA5F" w:rsidR="00F638AC" w:rsidRPr="00EF172F" w:rsidRDefault="00F638AC" w:rsidP="00F638AC">
      <w:r w:rsidRPr="00EF172F">
        <w:rPr>
          <w:u w:val="single"/>
        </w:rPr>
        <w:t>Construction:</w:t>
      </w:r>
      <w:r w:rsidRPr="00EF172F">
        <w:t xml:space="preserve"> We compute each country’s surplus secured doses as the number </w:t>
      </w:r>
      <w:proofErr w:type="gramStart"/>
      <w:r w:rsidRPr="00EF172F">
        <w:t>in excess of</w:t>
      </w:r>
      <w:proofErr w:type="gramEnd"/>
      <w:r w:rsidRPr="00EF172F">
        <w:t xml:space="preserve"> what would be required to provide two doses to 70% of its population</w:t>
      </w:r>
      <w:r w:rsidR="00F51AD2">
        <w:t xml:space="preserve"> (based on IMF-WHO data from 17 March 2022)</w:t>
      </w:r>
      <w:r w:rsidRPr="00EF172F">
        <w:t>, then the share of vaccine donations in that total</w:t>
      </w:r>
      <w:r w:rsidR="00F51AD2">
        <w:t xml:space="preserve"> (based on UNICEF data accessed on 20 March 2022).</w:t>
      </w:r>
    </w:p>
    <w:p w14:paraId="0C365823" w14:textId="77777777" w:rsidR="00F638AC" w:rsidRPr="00EF172F" w:rsidRDefault="00F638AC" w:rsidP="00F638AC"/>
    <w:p w14:paraId="427AE411" w14:textId="77777777" w:rsidR="00F638AC" w:rsidRPr="00EF172F" w:rsidRDefault="00F638AC" w:rsidP="00F638AC"/>
    <w:p w14:paraId="7F8C4507" w14:textId="067AB8EB" w:rsidR="00F638AC" w:rsidRPr="00EF172F" w:rsidRDefault="00F638AC" w:rsidP="00F638AC">
      <w:pPr>
        <w:rPr>
          <w:b/>
          <w:bCs/>
          <w:i/>
          <w:iCs/>
          <w:u w:val="single"/>
        </w:rPr>
      </w:pPr>
      <w:r w:rsidRPr="00EF172F">
        <w:rPr>
          <w:u w:val="single"/>
        </w:rPr>
        <w:t xml:space="preserve">Indicator </w:t>
      </w:r>
      <w:r w:rsidR="003E49B2">
        <w:rPr>
          <w:u w:val="single"/>
        </w:rPr>
        <w:t>2.</w:t>
      </w:r>
      <w:r w:rsidR="00E46797">
        <w:rPr>
          <w:u w:val="single"/>
        </w:rPr>
        <w:t>3</w:t>
      </w:r>
      <w:r w:rsidRPr="00EF172F">
        <w:rPr>
          <w:u w:val="single"/>
        </w:rPr>
        <w:t>:</w:t>
      </w:r>
      <w:r w:rsidRPr="00B35C7D">
        <w:t xml:space="preserve"> </w:t>
      </w:r>
      <w:r w:rsidRPr="00EF172F">
        <w:rPr>
          <w:b/>
          <w:bCs/>
          <w:i/>
          <w:iCs/>
        </w:rPr>
        <w:t xml:space="preserve">Share of dose donations </w:t>
      </w:r>
      <w:r>
        <w:rPr>
          <w:b/>
          <w:bCs/>
          <w:i/>
          <w:iCs/>
        </w:rPr>
        <w:t xml:space="preserve">made </w:t>
      </w:r>
      <w:r w:rsidR="00653967">
        <w:rPr>
          <w:b/>
          <w:bCs/>
          <w:i/>
          <w:iCs/>
        </w:rPr>
        <w:t>through</w:t>
      </w:r>
      <w:r w:rsidRPr="00EF172F">
        <w:rPr>
          <w:b/>
          <w:bCs/>
          <w:i/>
          <w:iCs/>
        </w:rPr>
        <w:t xml:space="preserve"> </w:t>
      </w:r>
      <w:r>
        <w:rPr>
          <w:b/>
          <w:bCs/>
          <w:i/>
          <w:iCs/>
        </w:rPr>
        <w:t>COVAX</w:t>
      </w:r>
      <w:r w:rsidRPr="00EF172F">
        <w:rPr>
          <w:b/>
          <w:bCs/>
          <w:i/>
          <w:iCs/>
        </w:rPr>
        <w:t xml:space="preserve"> or AVAT (%)</w:t>
      </w:r>
    </w:p>
    <w:p w14:paraId="475E6B5B" w14:textId="77777777" w:rsidR="00F638AC" w:rsidRPr="00EF172F" w:rsidRDefault="00F638AC" w:rsidP="00F638AC">
      <w:pPr>
        <w:rPr>
          <w:u w:val="single"/>
        </w:rPr>
      </w:pPr>
    </w:p>
    <w:p w14:paraId="0C495D1A" w14:textId="77777777" w:rsidR="00F638AC" w:rsidRPr="00EF172F" w:rsidRDefault="00F638AC" w:rsidP="00F638AC">
      <w:pPr>
        <w:rPr>
          <w:sz w:val="22"/>
          <w:szCs w:val="22"/>
        </w:rPr>
      </w:pPr>
      <w:r w:rsidRPr="00EF172F">
        <w:rPr>
          <w:u w:val="single"/>
        </w:rPr>
        <w:t>Source:</w:t>
      </w:r>
      <w:r w:rsidRPr="00EF172F">
        <w:t xml:space="preserve"> </w:t>
      </w:r>
      <w:hyperlink r:id="rId14" w:history="1">
        <w:r w:rsidRPr="00EF172F">
          <w:rPr>
            <w:rStyle w:val="Hyperlink"/>
          </w:rPr>
          <w:t>UNICEF Covid Vaccine Market Dashboard</w:t>
        </w:r>
      </w:hyperlink>
      <w:r w:rsidRPr="00EF172F">
        <w:t xml:space="preserve"> </w:t>
      </w:r>
    </w:p>
    <w:p w14:paraId="75855628" w14:textId="77777777" w:rsidR="00F638AC" w:rsidRPr="00EF172F" w:rsidRDefault="00F638AC" w:rsidP="00F638AC">
      <w:pPr>
        <w:rPr>
          <w:u w:val="single"/>
        </w:rPr>
      </w:pPr>
    </w:p>
    <w:p w14:paraId="174720B7" w14:textId="08F40A7E" w:rsidR="00F638AC" w:rsidRPr="00EF172F" w:rsidRDefault="00F638AC" w:rsidP="00F638AC">
      <w:r w:rsidRPr="00F51AD2">
        <w:rPr>
          <w:u w:val="single"/>
        </w:rPr>
        <w:t>Construction:</w:t>
      </w:r>
      <w:r w:rsidRPr="00F51AD2">
        <w:t xml:space="preserve"> We compute the share of doses that have been delivered to COVAX </w:t>
      </w:r>
      <w:r w:rsidR="00EB05CB" w:rsidRPr="00F51AD2">
        <w:t xml:space="preserve">or AVAT </w:t>
      </w:r>
      <w:r w:rsidRPr="00F51AD2">
        <w:t xml:space="preserve">as a share of total pledges, as reported as of </w:t>
      </w:r>
      <w:r w:rsidR="00F51AD2" w:rsidRPr="00F51AD2">
        <w:t>20 March</w:t>
      </w:r>
      <w:r w:rsidRPr="00F51AD2">
        <w:t xml:space="preserve"> 2022. Again, we include as a donation the </w:t>
      </w:r>
      <w:r w:rsidR="00F51AD2" w:rsidRPr="00F51AD2">
        <w:t xml:space="preserve">580 </w:t>
      </w:r>
      <w:proofErr w:type="spellStart"/>
      <w:r w:rsidR="00F51AD2" w:rsidRPr="00F51AD2">
        <w:t>mn</w:t>
      </w:r>
      <w:proofErr w:type="spellEnd"/>
      <w:r w:rsidRPr="00F51AD2">
        <w:t xml:space="preserve"> vaccines that the US </w:t>
      </w:r>
      <w:r w:rsidR="00F51AD2" w:rsidRPr="00F51AD2">
        <w:t>provided</w:t>
      </w:r>
      <w:r w:rsidRPr="00F51AD2">
        <w:t xml:space="preserve"> to COVAX through a facilitated cost-sharing arrangement. We </w:t>
      </w:r>
      <w:r w:rsidRPr="00F51AD2">
        <w:lastRenderedPageBreak/>
        <w:t>do not include commercial supply arrangements with COVAX/AVAT</w:t>
      </w:r>
      <w:r w:rsidR="00327803" w:rsidRPr="00F51AD2">
        <w:t xml:space="preserve"> (see section below on ‘Indicators considered by not recommended for inclusion’</w:t>
      </w:r>
      <w:r w:rsidR="00F51AD2" w:rsidRPr="00F51AD2">
        <w:t>).</w:t>
      </w:r>
    </w:p>
    <w:p w14:paraId="5FEFCA0B" w14:textId="77777777" w:rsidR="00FC4BCD" w:rsidRDefault="00FC4BCD" w:rsidP="00F638AC">
      <w:pPr>
        <w:rPr>
          <w:b/>
          <w:bCs/>
        </w:rPr>
      </w:pPr>
    </w:p>
    <w:p w14:paraId="6D95A1B1" w14:textId="77777777" w:rsidR="00E46797" w:rsidRPr="00E46797" w:rsidRDefault="00E46797" w:rsidP="00E46797">
      <w:r w:rsidRPr="00E46797">
        <w:rPr>
          <w:u w:val="single"/>
        </w:rPr>
        <w:t>Indicator 2.</w:t>
      </w:r>
      <w:r>
        <w:rPr>
          <w:u w:val="single"/>
        </w:rPr>
        <w:t>4</w:t>
      </w:r>
      <w:r w:rsidRPr="00E46797">
        <w:rPr>
          <w:u w:val="single"/>
        </w:rPr>
        <w:t>:</w:t>
      </w:r>
      <w:r w:rsidRPr="00E46797">
        <w:t xml:space="preserve"> </w:t>
      </w:r>
      <w:r w:rsidRPr="00E46797">
        <w:rPr>
          <w:rFonts w:cs="FreightSans Pro Book"/>
          <w:b/>
          <w:bCs/>
          <w:i/>
          <w:iCs/>
          <w:color w:val="000000"/>
        </w:rPr>
        <w:t xml:space="preserve">Share of vaccine donations that have been delivered (%) </w:t>
      </w:r>
    </w:p>
    <w:p w14:paraId="2068F87E" w14:textId="77777777" w:rsidR="00E46797" w:rsidRPr="00EF172F" w:rsidRDefault="00E46797" w:rsidP="00E46797"/>
    <w:p w14:paraId="7611C79F" w14:textId="77777777" w:rsidR="00E46797" w:rsidRPr="00EF172F" w:rsidRDefault="00E46797" w:rsidP="00E46797">
      <w:pPr>
        <w:rPr>
          <w:b/>
          <w:bCs/>
        </w:rPr>
      </w:pPr>
      <w:r w:rsidRPr="00EF172F">
        <w:rPr>
          <w:u w:val="single"/>
        </w:rPr>
        <w:t>Source:</w:t>
      </w:r>
      <w:r w:rsidRPr="00EF172F">
        <w:t xml:space="preserve"> </w:t>
      </w:r>
      <w:hyperlink r:id="rId15" w:history="1">
        <w:r w:rsidRPr="00EF172F">
          <w:rPr>
            <w:rStyle w:val="Hyperlink"/>
          </w:rPr>
          <w:t>UNICEF Covid Vaccine Market Dashboard</w:t>
        </w:r>
      </w:hyperlink>
    </w:p>
    <w:p w14:paraId="23241467" w14:textId="77777777" w:rsidR="00E46797" w:rsidRPr="00EF172F" w:rsidRDefault="00E46797" w:rsidP="00E46797">
      <w:pPr>
        <w:rPr>
          <w:u w:val="single"/>
        </w:rPr>
      </w:pPr>
    </w:p>
    <w:p w14:paraId="3A2F6DCA" w14:textId="47FD1249" w:rsidR="00E46797" w:rsidRPr="00EF172F" w:rsidRDefault="00E46797" w:rsidP="00E46797">
      <w:r w:rsidRPr="00EF172F">
        <w:rPr>
          <w:u w:val="single"/>
        </w:rPr>
        <w:t>Construction:</w:t>
      </w:r>
      <w:r w:rsidRPr="00EF172F">
        <w:t xml:space="preserve"> </w:t>
      </w:r>
      <w:r w:rsidRPr="00F51AD2">
        <w:t xml:space="preserve">We compute the share of dose donations delivered to COVAX or to the receiving country as a share of pledges made, according to data accessed on 20 March 2022. </w:t>
      </w:r>
      <w:r w:rsidRPr="00EF172F">
        <w:t xml:space="preserve">We consider the </w:t>
      </w:r>
      <w:r>
        <w:t xml:space="preserve">580 </w:t>
      </w:r>
      <w:proofErr w:type="spellStart"/>
      <w:r>
        <w:t>mn</w:t>
      </w:r>
      <w:proofErr w:type="spellEnd"/>
      <w:r w:rsidRPr="00EF172F">
        <w:t xml:space="preserve"> vaccines that the US </w:t>
      </w:r>
      <w:r>
        <w:t>provided</w:t>
      </w:r>
      <w:r w:rsidRPr="00EF172F">
        <w:t xml:space="preserve"> to </w:t>
      </w:r>
      <w:r>
        <w:t>COVAX</w:t>
      </w:r>
      <w:r w:rsidRPr="00EF172F">
        <w:t xml:space="preserve"> through a facilitated cost-sharing arrangement as a donation.</w:t>
      </w:r>
      <w:r w:rsidRPr="00EF172F">
        <w:tab/>
      </w:r>
    </w:p>
    <w:p w14:paraId="34BE3462" w14:textId="4893A4F7" w:rsidR="00F638AC" w:rsidRDefault="00F638AC" w:rsidP="00F638AC">
      <w:pPr>
        <w:rPr>
          <w:b/>
          <w:bCs/>
        </w:rPr>
      </w:pPr>
    </w:p>
    <w:p w14:paraId="632C759D" w14:textId="77777777" w:rsidR="00E46797" w:rsidRPr="00EF172F" w:rsidRDefault="00E46797" w:rsidP="00F638AC">
      <w:pPr>
        <w:rPr>
          <w:b/>
          <w:bCs/>
        </w:rPr>
      </w:pPr>
    </w:p>
    <w:p w14:paraId="28123810" w14:textId="05773374" w:rsidR="00FC4BCD" w:rsidRPr="00E46797" w:rsidRDefault="00E46797" w:rsidP="00E46797">
      <w:pPr>
        <w:pStyle w:val="Heading2"/>
      </w:pPr>
      <w:bookmarkStart w:id="3" w:name="_Toc99301429"/>
      <w:r w:rsidRPr="00E46797">
        <w:t>Dimension 3: Sharing intellectual property and removing export restrictions on medical products</w:t>
      </w:r>
      <w:bookmarkEnd w:id="3"/>
    </w:p>
    <w:p w14:paraId="48FD9160" w14:textId="77777777" w:rsidR="00E46797" w:rsidRPr="00EF172F" w:rsidRDefault="00E46797" w:rsidP="00F638AC">
      <w:pPr>
        <w:pStyle w:val="NoSpacing"/>
        <w:rPr>
          <w:rFonts w:ascii="Times New Roman" w:hAnsi="Times New Roman" w:cs="Times New Roman"/>
          <w:sz w:val="24"/>
          <w:szCs w:val="24"/>
        </w:rPr>
      </w:pPr>
    </w:p>
    <w:p w14:paraId="7C194AFC" w14:textId="7B55E752" w:rsidR="00F638AC" w:rsidRPr="00EF172F" w:rsidRDefault="00F638AC" w:rsidP="00F638AC">
      <w:pPr>
        <w:pStyle w:val="NoSpacing"/>
        <w:rPr>
          <w:rFonts w:ascii="Times New Roman" w:hAnsi="Times New Roman" w:cs="Times New Roman"/>
          <w:i/>
          <w:iCs/>
          <w:sz w:val="24"/>
          <w:szCs w:val="24"/>
        </w:rPr>
      </w:pPr>
      <w:r w:rsidRPr="00EF172F">
        <w:rPr>
          <w:rFonts w:ascii="Times New Roman" w:hAnsi="Times New Roman" w:cs="Times New Roman"/>
          <w:sz w:val="24"/>
          <w:szCs w:val="24"/>
          <w:u w:val="single"/>
        </w:rPr>
        <w:t xml:space="preserve">Indicator </w:t>
      </w:r>
      <w:r w:rsidR="003E49B2">
        <w:rPr>
          <w:rFonts w:ascii="Times New Roman" w:hAnsi="Times New Roman" w:cs="Times New Roman"/>
          <w:sz w:val="24"/>
          <w:szCs w:val="24"/>
          <w:u w:val="single"/>
        </w:rPr>
        <w:t>3.</w:t>
      </w:r>
      <w:r w:rsidRPr="00EF172F">
        <w:rPr>
          <w:rFonts w:ascii="Times New Roman" w:hAnsi="Times New Roman" w:cs="Times New Roman"/>
          <w:sz w:val="24"/>
          <w:szCs w:val="24"/>
          <w:u w:val="single"/>
        </w:rPr>
        <w:t xml:space="preserve">1: </w:t>
      </w:r>
      <w:proofErr w:type="gramStart"/>
      <w:r w:rsidRPr="00EF172F">
        <w:rPr>
          <w:rFonts w:ascii="Times New Roman" w:hAnsi="Times New Roman" w:cs="Times New Roman"/>
          <w:b/>
          <w:bCs/>
          <w:i/>
          <w:iCs/>
          <w:sz w:val="24"/>
          <w:szCs w:val="24"/>
        </w:rPr>
        <w:t>Whether or not</w:t>
      </w:r>
      <w:proofErr w:type="gramEnd"/>
      <w:r w:rsidRPr="00EF172F">
        <w:rPr>
          <w:rFonts w:ascii="Times New Roman" w:hAnsi="Times New Roman" w:cs="Times New Roman"/>
          <w:b/>
          <w:bCs/>
          <w:i/>
          <w:iCs/>
          <w:sz w:val="24"/>
          <w:szCs w:val="24"/>
        </w:rPr>
        <w:t xml:space="preserve"> a country supports the TRIPS waiver at the WTO</w:t>
      </w:r>
    </w:p>
    <w:p w14:paraId="715E9257" w14:textId="77777777" w:rsidR="00F638AC" w:rsidRPr="00EF172F" w:rsidRDefault="00F638AC" w:rsidP="00F638AC">
      <w:pPr>
        <w:rPr>
          <w:u w:val="single"/>
        </w:rPr>
      </w:pPr>
    </w:p>
    <w:p w14:paraId="542109EB" w14:textId="77777777" w:rsidR="00F638AC" w:rsidRPr="00EF172F" w:rsidRDefault="00F638AC" w:rsidP="00F638AC">
      <w:r w:rsidRPr="00EF172F">
        <w:rPr>
          <w:u w:val="single"/>
        </w:rPr>
        <w:t>Source:</w:t>
      </w:r>
      <w:r w:rsidRPr="00EF172F">
        <w:t xml:space="preserve"> MSF (2021) and vari</w:t>
      </w:r>
      <w:r>
        <w:t>ous</w:t>
      </w:r>
      <w:r w:rsidRPr="00EF172F">
        <w:t xml:space="preserve"> media and government sources (available on request)</w:t>
      </w:r>
    </w:p>
    <w:p w14:paraId="12864F05" w14:textId="77777777" w:rsidR="00F638AC" w:rsidRPr="00EF172F" w:rsidRDefault="00F638AC" w:rsidP="00F638AC"/>
    <w:p w14:paraId="459233B4" w14:textId="77777777" w:rsidR="00F638AC" w:rsidRPr="00EF172F" w:rsidRDefault="00F638AC" w:rsidP="00F638AC">
      <w:r w:rsidRPr="00EF172F">
        <w:rPr>
          <w:u w:val="single"/>
        </w:rPr>
        <w:t>Construction:</w:t>
      </w:r>
      <w:r w:rsidRPr="00EF172F">
        <w:t xml:space="preserve"> The variable has 3 categories, indicating whether it was a co-sponsor of the initial proposal, has subsequently expressed support or is opposed to the waiver.</w:t>
      </w:r>
    </w:p>
    <w:p w14:paraId="4B435254" w14:textId="77777777" w:rsidR="00F638AC" w:rsidRPr="00EF172F" w:rsidRDefault="00F638AC" w:rsidP="00F638AC">
      <w:pPr>
        <w:pStyle w:val="NoSpacing"/>
        <w:rPr>
          <w:rFonts w:ascii="Times New Roman" w:hAnsi="Times New Roman" w:cs="Times New Roman"/>
          <w:sz w:val="24"/>
          <w:szCs w:val="24"/>
        </w:rPr>
      </w:pPr>
    </w:p>
    <w:p w14:paraId="70BA39AD" w14:textId="77777777" w:rsidR="00F638AC" w:rsidRPr="00EF172F" w:rsidRDefault="00F638AC" w:rsidP="00F638AC">
      <w:pPr>
        <w:pStyle w:val="NoSpacing"/>
        <w:rPr>
          <w:rFonts w:ascii="Times New Roman" w:hAnsi="Times New Roman" w:cs="Times New Roman"/>
          <w:sz w:val="24"/>
          <w:szCs w:val="24"/>
          <w:u w:val="single"/>
        </w:rPr>
      </w:pPr>
    </w:p>
    <w:p w14:paraId="3343A7E5" w14:textId="4E109336" w:rsidR="00F638AC" w:rsidRPr="00EF172F" w:rsidRDefault="00F638AC" w:rsidP="00F638AC">
      <w:pPr>
        <w:pStyle w:val="NoSpacing"/>
        <w:rPr>
          <w:rFonts w:ascii="Times New Roman" w:eastAsia="Times New Roman" w:hAnsi="Times New Roman" w:cs="Times New Roman"/>
          <w:i/>
          <w:iCs/>
          <w:sz w:val="24"/>
          <w:szCs w:val="24"/>
        </w:rPr>
      </w:pPr>
      <w:r w:rsidRPr="00EF172F">
        <w:rPr>
          <w:rFonts w:ascii="Times New Roman" w:hAnsi="Times New Roman" w:cs="Times New Roman"/>
          <w:sz w:val="24"/>
          <w:szCs w:val="24"/>
          <w:u w:val="single"/>
        </w:rPr>
        <w:t xml:space="preserve">Indicator </w:t>
      </w:r>
      <w:r w:rsidR="003E49B2">
        <w:rPr>
          <w:rFonts w:ascii="Times New Roman" w:hAnsi="Times New Roman" w:cs="Times New Roman"/>
          <w:sz w:val="24"/>
          <w:szCs w:val="24"/>
          <w:u w:val="single"/>
        </w:rPr>
        <w:t>3.</w:t>
      </w:r>
      <w:r w:rsidRPr="00EF172F">
        <w:rPr>
          <w:rFonts w:ascii="Times New Roman" w:hAnsi="Times New Roman" w:cs="Times New Roman"/>
          <w:sz w:val="24"/>
          <w:szCs w:val="24"/>
          <w:u w:val="single"/>
        </w:rPr>
        <w:t>2:</w:t>
      </w:r>
      <w:r w:rsidRPr="00EF172F">
        <w:rPr>
          <w:rFonts w:ascii="Times New Roman" w:hAnsi="Times New Roman" w:cs="Times New Roman"/>
          <w:sz w:val="24"/>
          <w:szCs w:val="24"/>
        </w:rPr>
        <w:t xml:space="preserve"> </w:t>
      </w:r>
      <w:proofErr w:type="gramStart"/>
      <w:r w:rsidRPr="00EF172F">
        <w:rPr>
          <w:rFonts w:ascii="Times New Roman" w:hAnsi="Times New Roman" w:cs="Times New Roman"/>
          <w:b/>
          <w:bCs/>
          <w:i/>
          <w:iCs/>
          <w:sz w:val="24"/>
          <w:szCs w:val="24"/>
        </w:rPr>
        <w:t>Whether or not</w:t>
      </w:r>
      <w:proofErr w:type="gramEnd"/>
      <w:r w:rsidRPr="00EF172F">
        <w:rPr>
          <w:rFonts w:ascii="Times New Roman" w:hAnsi="Times New Roman" w:cs="Times New Roman"/>
          <w:b/>
          <w:bCs/>
          <w:i/>
          <w:iCs/>
          <w:sz w:val="24"/>
          <w:szCs w:val="24"/>
        </w:rPr>
        <w:t xml:space="preserve"> a country has endorsed C-TAP</w:t>
      </w:r>
    </w:p>
    <w:p w14:paraId="458CD462" w14:textId="77777777" w:rsidR="00F638AC" w:rsidRPr="00EF172F" w:rsidRDefault="00F638AC" w:rsidP="00F638AC">
      <w:pPr>
        <w:rPr>
          <w:u w:val="single"/>
        </w:rPr>
      </w:pPr>
    </w:p>
    <w:p w14:paraId="46BC856C" w14:textId="77777777" w:rsidR="00F638AC" w:rsidRPr="00EF172F" w:rsidRDefault="00F638AC" w:rsidP="00F638AC">
      <w:r w:rsidRPr="00EF172F">
        <w:rPr>
          <w:u w:val="single"/>
        </w:rPr>
        <w:t>Source:</w:t>
      </w:r>
      <w:r w:rsidRPr="00EF172F">
        <w:t xml:space="preserve"> </w:t>
      </w:r>
      <w:hyperlink r:id="rId16" w:history="1">
        <w:r w:rsidRPr="00EF172F">
          <w:rPr>
            <w:rStyle w:val="Hyperlink"/>
          </w:rPr>
          <w:t>World Health Organization</w:t>
        </w:r>
      </w:hyperlink>
    </w:p>
    <w:p w14:paraId="4957678F" w14:textId="77777777" w:rsidR="00F638AC" w:rsidRPr="00EF172F" w:rsidRDefault="00F638AC" w:rsidP="00F638AC"/>
    <w:p w14:paraId="392CC54C" w14:textId="77777777" w:rsidR="00F638AC" w:rsidRPr="00EF172F" w:rsidRDefault="00F638AC" w:rsidP="00F638AC">
      <w:r w:rsidRPr="00EF172F">
        <w:rPr>
          <w:u w:val="single"/>
        </w:rPr>
        <w:t>Construction:</w:t>
      </w:r>
      <w:r w:rsidRPr="00EF172F">
        <w:t xml:space="preserve"> This binary variable indicates </w:t>
      </w:r>
      <w:proofErr w:type="gramStart"/>
      <w:r w:rsidRPr="00EF172F">
        <w:t>whether or not</w:t>
      </w:r>
      <w:proofErr w:type="gramEnd"/>
      <w:r w:rsidRPr="00EF172F">
        <w:t xml:space="preserve"> a country has endorsed C-TAP.</w:t>
      </w:r>
    </w:p>
    <w:p w14:paraId="62D9EBA1" w14:textId="77777777" w:rsidR="00F638AC" w:rsidRPr="00EF172F" w:rsidRDefault="00F638AC" w:rsidP="00F638AC">
      <w:pPr>
        <w:pStyle w:val="NoSpacing"/>
        <w:rPr>
          <w:rFonts w:ascii="Times New Roman" w:hAnsi="Times New Roman" w:cs="Times New Roman"/>
          <w:sz w:val="24"/>
          <w:szCs w:val="24"/>
        </w:rPr>
      </w:pPr>
    </w:p>
    <w:p w14:paraId="66CDF142" w14:textId="77777777" w:rsidR="00B61721" w:rsidRDefault="00F638AC" w:rsidP="00F638A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NOTE: </w:t>
      </w:r>
      <w:r>
        <w:rPr>
          <w:rFonts w:ascii="Times New Roman" w:hAnsi="Times New Roman" w:cs="Times New Roman"/>
          <w:sz w:val="24"/>
          <w:szCs w:val="24"/>
        </w:rPr>
        <w:t>Indicators 1 and 2 were combined to form a five-point scale depending on country positions on the TRIPs waiver and on C-TAP</w:t>
      </w:r>
      <w:r w:rsidR="00B61721">
        <w:rPr>
          <w:rFonts w:ascii="Times New Roman" w:hAnsi="Times New Roman" w:cs="Times New Roman"/>
          <w:sz w:val="24"/>
          <w:szCs w:val="24"/>
        </w:rPr>
        <w:t>, as follows:</w:t>
      </w:r>
    </w:p>
    <w:p w14:paraId="01EBA4A7" w14:textId="7342CB8E" w:rsidR="00B61721" w:rsidRDefault="00B61721" w:rsidP="00B61721">
      <w:pPr>
        <w:pStyle w:val="NoSpacing"/>
        <w:rPr>
          <w:rFonts w:ascii="Times New Roman" w:hAnsi="Times New Roman" w:cs="Times New Roman"/>
          <w:sz w:val="24"/>
          <w:szCs w:val="24"/>
        </w:rPr>
      </w:pPr>
    </w:p>
    <w:p w14:paraId="6487EC30" w14:textId="65C03307" w:rsidR="00B61721" w:rsidRDefault="00B61721" w:rsidP="00B61721">
      <w:pPr>
        <w:pStyle w:val="NoSpacing"/>
        <w:rPr>
          <w:rFonts w:ascii="Times New Roman" w:hAnsi="Times New Roman" w:cs="Times New Roman"/>
          <w:sz w:val="24"/>
          <w:szCs w:val="24"/>
        </w:rPr>
      </w:pPr>
      <w:r>
        <w:rPr>
          <w:rFonts w:ascii="Times New Roman" w:hAnsi="Times New Roman" w:cs="Times New Roman"/>
          <w:sz w:val="24"/>
          <w:szCs w:val="24"/>
        </w:rPr>
        <w:t>0 – Do not support TRIPS nor endorse C-TAP</w:t>
      </w:r>
    </w:p>
    <w:p w14:paraId="19727554" w14:textId="56033D41" w:rsidR="00B61721" w:rsidRDefault="00B61721" w:rsidP="00B61721">
      <w:pPr>
        <w:pStyle w:val="NoSpacing"/>
        <w:rPr>
          <w:rFonts w:ascii="Times New Roman" w:hAnsi="Times New Roman" w:cs="Times New Roman"/>
          <w:sz w:val="24"/>
          <w:szCs w:val="24"/>
        </w:rPr>
      </w:pPr>
      <w:r>
        <w:rPr>
          <w:rFonts w:ascii="Times New Roman" w:hAnsi="Times New Roman" w:cs="Times New Roman"/>
          <w:sz w:val="24"/>
          <w:szCs w:val="24"/>
        </w:rPr>
        <w:t>1 – Support C-TAP only (no country falls into this category)</w:t>
      </w:r>
    </w:p>
    <w:p w14:paraId="5551DC40" w14:textId="4F6386DC" w:rsidR="00B61721" w:rsidRDefault="00B61721" w:rsidP="00B61721">
      <w:pPr>
        <w:pStyle w:val="NoSpacing"/>
        <w:rPr>
          <w:rFonts w:ascii="Times New Roman" w:hAnsi="Times New Roman" w:cs="Times New Roman"/>
          <w:sz w:val="24"/>
          <w:szCs w:val="24"/>
        </w:rPr>
      </w:pPr>
      <w:r>
        <w:rPr>
          <w:rFonts w:ascii="Times New Roman" w:hAnsi="Times New Roman" w:cs="Times New Roman"/>
          <w:sz w:val="24"/>
          <w:szCs w:val="24"/>
        </w:rPr>
        <w:t>2 – Supports TRIPS but does not endorse C-TAP</w:t>
      </w:r>
    </w:p>
    <w:p w14:paraId="38397E43" w14:textId="5CB009E0" w:rsidR="00B61721" w:rsidRDefault="00B61721" w:rsidP="00B61721">
      <w:pPr>
        <w:pStyle w:val="NoSpacing"/>
        <w:rPr>
          <w:rFonts w:ascii="Times New Roman" w:hAnsi="Times New Roman" w:cs="Times New Roman"/>
          <w:sz w:val="24"/>
          <w:szCs w:val="24"/>
        </w:rPr>
      </w:pPr>
      <w:r>
        <w:rPr>
          <w:rFonts w:ascii="Times New Roman" w:hAnsi="Times New Roman" w:cs="Times New Roman"/>
          <w:sz w:val="24"/>
          <w:szCs w:val="24"/>
        </w:rPr>
        <w:t>3 – Co-sponsor of TRIPS but has not endorsed CTAP, or supports both TRIPS and CTAP</w:t>
      </w:r>
    </w:p>
    <w:p w14:paraId="69ED56EC" w14:textId="41E16EBE" w:rsidR="00B61721" w:rsidRDefault="00B61721" w:rsidP="00F638AC">
      <w:pPr>
        <w:pStyle w:val="NoSpacing"/>
        <w:rPr>
          <w:rFonts w:ascii="Times New Roman" w:hAnsi="Times New Roman" w:cs="Times New Roman"/>
          <w:sz w:val="24"/>
          <w:szCs w:val="24"/>
        </w:rPr>
      </w:pPr>
      <w:r>
        <w:rPr>
          <w:rFonts w:ascii="Times New Roman" w:hAnsi="Times New Roman" w:cs="Times New Roman"/>
          <w:sz w:val="24"/>
          <w:szCs w:val="24"/>
        </w:rPr>
        <w:t>4 – Co-sponsor of TRIPS and supports CTAP</w:t>
      </w:r>
    </w:p>
    <w:p w14:paraId="32A16ED3" w14:textId="77777777" w:rsidR="00B61721" w:rsidRDefault="00B61721" w:rsidP="00F638AC">
      <w:pPr>
        <w:pStyle w:val="NoSpacing"/>
        <w:rPr>
          <w:rFonts w:ascii="Times New Roman" w:hAnsi="Times New Roman" w:cs="Times New Roman"/>
          <w:sz w:val="24"/>
          <w:szCs w:val="24"/>
        </w:rPr>
      </w:pPr>
    </w:p>
    <w:p w14:paraId="49033FC6" w14:textId="56C36CBE" w:rsidR="00F638AC" w:rsidRPr="00F638AC" w:rsidRDefault="00F638AC" w:rsidP="00F638AC">
      <w:pPr>
        <w:pStyle w:val="NoSpacing"/>
        <w:rPr>
          <w:rFonts w:ascii="Times New Roman" w:hAnsi="Times New Roman" w:cs="Times New Roman"/>
          <w:sz w:val="24"/>
          <w:szCs w:val="24"/>
        </w:rPr>
      </w:pPr>
      <w:r>
        <w:rPr>
          <w:rFonts w:ascii="Times New Roman" w:hAnsi="Times New Roman" w:cs="Times New Roman"/>
          <w:sz w:val="24"/>
          <w:szCs w:val="24"/>
        </w:rPr>
        <w:t xml:space="preserve">The weight of this </w:t>
      </w:r>
      <w:r w:rsidR="00CA1BF8">
        <w:rPr>
          <w:rFonts w:ascii="Times New Roman" w:hAnsi="Times New Roman" w:cs="Times New Roman"/>
          <w:sz w:val="24"/>
          <w:szCs w:val="24"/>
        </w:rPr>
        <w:t>scale</w:t>
      </w:r>
      <w:r>
        <w:rPr>
          <w:rFonts w:ascii="Times New Roman" w:hAnsi="Times New Roman" w:cs="Times New Roman"/>
          <w:sz w:val="24"/>
          <w:szCs w:val="24"/>
        </w:rPr>
        <w:t xml:space="preserve"> was then doubled in the final index </w:t>
      </w:r>
      <w:proofErr w:type="gramStart"/>
      <w:r>
        <w:rPr>
          <w:rFonts w:ascii="Times New Roman" w:hAnsi="Times New Roman" w:cs="Times New Roman"/>
          <w:sz w:val="24"/>
          <w:szCs w:val="24"/>
        </w:rPr>
        <w:t>construction</w:t>
      </w:r>
      <w:r w:rsidR="00CA1BF8">
        <w:rPr>
          <w:rFonts w:ascii="Times New Roman" w:hAnsi="Times New Roman" w:cs="Times New Roman"/>
          <w:sz w:val="24"/>
          <w:szCs w:val="24"/>
        </w:rPr>
        <w:t>, since</w:t>
      </w:r>
      <w:proofErr w:type="gramEnd"/>
      <w:r w:rsidR="00CA1BF8">
        <w:rPr>
          <w:rFonts w:ascii="Times New Roman" w:hAnsi="Times New Roman" w:cs="Times New Roman"/>
          <w:sz w:val="24"/>
          <w:szCs w:val="24"/>
        </w:rPr>
        <w:t xml:space="preserve"> it combines two indicators.</w:t>
      </w:r>
    </w:p>
    <w:p w14:paraId="7C800003" w14:textId="77777777" w:rsidR="00F638AC" w:rsidRPr="00EF172F" w:rsidRDefault="00F638AC" w:rsidP="00F638AC">
      <w:pPr>
        <w:pStyle w:val="NoSpacing"/>
        <w:rPr>
          <w:rFonts w:ascii="Times New Roman" w:hAnsi="Times New Roman" w:cs="Times New Roman"/>
          <w:i/>
          <w:sz w:val="24"/>
          <w:szCs w:val="24"/>
          <w:u w:val="single"/>
        </w:rPr>
      </w:pPr>
    </w:p>
    <w:p w14:paraId="40B9D084" w14:textId="77777777" w:rsidR="00F638AC" w:rsidRDefault="00F638AC" w:rsidP="00F638AC">
      <w:pPr>
        <w:rPr>
          <w:u w:val="single"/>
        </w:rPr>
      </w:pPr>
    </w:p>
    <w:p w14:paraId="07C1B86B" w14:textId="0D31742F" w:rsidR="00E46797" w:rsidRPr="00E46797" w:rsidRDefault="00F638AC" w:rsidP="00E46797">
      <w:pPr>
        <w:pStyle w:val="Pa13"/>
        <w:rPr>
          <w:rFonts w:ascii="Times New Roman" w:hAnsi="Times New Roman" w:cs="Times New Roman"/>
          <w:b/>
          <w:bCs/>
          <w:i/>
          <w:iCs/>
          <w:color w:val="000000"/>
        </w:rPr>
      </w:pPr>
      <w:r w:rsidRPr="00E46797">
        <w:rPr>
          <w:rFonts w:ascii="Times New Roman" w:hAnsi="Times New Roman" w:cs="Times New Roman"/>
          <w:u w:val="single"/>
        </w:rPr>
        <w:t>Indicator 3</w:t>
      </w:r>
      <w:r w:rsidR="003E49B2" w:rsidRPr="00E46797">
        <w:rPr>
          <w:rFonts w:ascii="Times New Roman" w:hAnsi="Times New Roman" w:cs="Times New Roman"/>
          <w:u w:val="single"/>
        </w:rPr>
        <w:t>.</w:t>
      </w:r>
      <w:r w:rsidR="00E46797" w:rsidRPr="00E46797">
        <w:rPr>
          <w:rFonts w:ascii="Times New Roman" w:hAnsi="Times New Roman" w:cs="Times New Roman"/>
          <w:u w:val="single"/>
        </w:rPr>
        <w:t>3</w:t>
      </w:r>
      <w:r w:rsidRPr="00E46797">
        <w:rPr>
          <w:rFonts w:ascii="Times New Roman" w:hAnsi="Times New Roman" w:cs="Times New Roman"/>
          <w:u w:val="single"/>
        </w:rPr>
        <w:t>:</w:t>
      </w:r>
      <w:r w:rsidRPr="00E46797">
        <w:rPr>
          <w:rFonts w:ascii="Times New Roman" w:hAnsi="Times New Roman" w:cs="Times New Roman"/>
        </w:rPr>
        <w:t xml:space="preserve"> </w:t>
      </w:r>
      <w:r w:rsidR="00E46797" w:rsidRPr="00E46797">
        <w:rPr>
          <w:rFonts w:ascii="Times New Roman" w:hAnsi="Times New Roman" w:cs="Times New Roman"/>
          <w:b/>
          <w:bCs/>
          <w:i/>
          <w:iCs/>
          <w:color w:val="000000"/>
        </w:rPr>
        <w:t>Number and duration of export restrictions on medical products</w:t>
      </w:r>
    </w:p>
    <w:p w14:paraId="04335630" w14:textId="4A12A5E2" w:rsidR="00F638AC" w:rsidRPr="00EF172F" w:rsidRDefault="00F638AC" w:rsidP="00F638AC">
      <w:pPr>
        <w:rPr>
          <w:u w:val="single"/>
        </w:rPr>
      </w:pPr>
    </w:p>
    <w:p w14:paraId="407E34E5" w14:textId="6D32C4ED" w:rsidR="00F638AC" w:rsidRPr="00346F13" w:rsidRDefault="00F638AC" w:rsidP="00F638AC">
      <w:r w:rsidRPr="00EF172F">
        <w:rPr>
          <w:u w:val="single"/>
        </w:rPr>
        <w:t>Source:</w:t>
      </w:r>
      <w:r w:rsidRPr="00EF172F">
        <w:t xml:space="preserve"> </w:t>
      </w:r>
      <w:hyperlink r:id="rId17" w:history="1">
        <w:r w:rsidRPr="00EF172F">
          <w:rPr>
            <w:rStyle w:val="Hyperlink"/>
          </w:rPr>
          <w:t>Global Trade Alert</w:t>
        </w:r>
      </w:hyperlink>
      <w:r w:rsidR="00346F13" w:rsidRPr="00346F13">
        <w:t xml:space="preserve"> </w:t>
      </w:r>
      <w:r w:rsidR="00346F13">
        <w:t>and computations based on CGD analysis of this data</w:t>
      </w:r>
    </w:p>
    <w:p w14:paraId="44C01DA4" w14:textId="77777777" w:rsidR="00F638AC" w:rsidRPr="00EF172F" w:rsidRDefault="00F638AC" w:rsidP="00F638AC"/>
    <w:p w14:paraId="193DFE5D" w14:textId="55A455FD" w:rsidR="00F638AC" w:rsidRDefault="00F638AC" w:rsidP="00F638AC">
      <w:r w:rsidRPr="00EF172F">
        <w:rPr>
          <w:u w:val="single"/>
        </w:rPr>
        <w:t>Construction:</w:t>
      </w:r>
      <w:r w:rsidRPr="00EF172F">
        <w:t xml:space="preserve"> Following the methodology used in the CGD Commitment to Development Finance index, as outlined in Robinson et al. (2021), we use Global Trade Alert data on vaccines to construct an indicator that reflects the existence of any </w:t>
      </w:r>
      <w:r w:rsidRPr="00EF172F">
        <w:rPr>
          <w:color w:val="2E3A44"/>
          <w:spacing w:val="3"/>
          <w:shd w:val="clear" w:color="auto" w:fill="FFFFFF"/>
        </w:rPr>
        <w:t xml:space="preserve">export bans, export licensing requirements, export quotas, and export taxes and their duration </w:t>
      </w:r>
      <w:r w:rsidRPr="00EF172F">
        <w:t xml:space="preserve">between the beginning of 2020 and </w:t>
      </w:r>
      <w:r w:rsidR="00346F13">
        <w:t>mid 2021</w:t>
      </w:r>
      <w:r w:rsidRPr="00EF172F">
        <w:t xml:space="preserve">. Our focus is on medical products: medical consumables, equipment, medicines or drugs and vaccines. </w:t>
      </w:r>
    </w:p>
    <w:p w14:paraId="2647C315" w14:textId="77777777" w:rsidR="00327803" w:rsidRPr="00EF172F" w:rsidRDefault="00327803" w:rsidP="00F638AC"/>
    <w:p w14:paraId="266EF72F" w14:textId="4607E4F0" w:rsidR="008D42A4" w:rsidRDefault="003E49B2" w:rsidP="008D42A4">
      <w:pPr>
        <w:pStyle w:val="Heading2"/>
      </w:pPr>
      <w:bookmarkStart w:id="4" w:name="_Toc99301430"/>
      <w:r>
        <w:t>Indicators considered but not recommended for inclusion</w:t>
      </w:r>
      <w:bookmarkEnd w:id="4"/>
    </w:p>
    <w:p w14:paraId="37E6A015" w14:textId="77777777" w:rsidR="003E49B2" w:rsidRPr="00346F13" w:rsidRDefault="003E49B2" w:rsidP="003E49B2"/>
    <w:p w14:paraId="5DA7EF8B" w14:textId="0A804428" w:rsidR="008D42A4" w:rsidRPr="00346F13" w:rsidRDefault="003E49B2" w:rsidP="00BD7707">
      <w:pPr>
        <w:pStyle w:val="FootnoteText"/>
        <w:rPr>
          <w:sz w:val="24"/>
          <w:szCs w:val="24"/>
        </w:rPr>
      </w:pPr>
      <w:r w:rsidRPr="00346F13">
        <w:rPr>
          <w:sz w:val="24"/>
          <w:szCs w:val="24"/>
        </w:rPr>
        <w:t>We identified two additional indicators that are apt measures of the response of key vaccine producers to Covid-19 health equity globally, but because they only pertain to a subset of the G20, we do not propose their inclusion in a composite index covering all G20 countries.</w:t>
      </w:r>
    </w:p>
    <w:p w14:paraId="4D82BA60" w14:textId="77777777" w:rsidR="008D42A4" w:rsidRPr="00346F13" w:rsidRDefault="008D42A4" w:rsidP="00BD7707">
      <w:pPr>
        <w:pStyle w:val="FootnoteText"/>
        <w:rPr>
          <w:sz w:val="24"/>
          <w:szCs w:val="24"/>
        </w:rPr>
      </w:pPr>
    </w:p>
    <w:p w14:paraId="5A36EBEB" w14:textId="77777777" w:rsidR="004402FE" w:rsidRPr="00346F13" w:rsidRDefault="004402FE" w:rsidP="00BD7707">
      <w:pPr>
        <w:pStyle w:val="FootnoteText"/>
        <w:rPr>
          <w:sz w:val="24"/>
          <w:szCs w:val="24"/>
        </w:rPr>
      </w:pPr>
    </w:p>
    <w:p w14:paraId="542D6E45" w14:textId="56D3FD96" w:rsidR="00BD7707" w:rsidRPr="00346F13" w:rsidRDefault="00BD7707" w:rsidP="00BD7707">
      <w:pPr>
        <w:autoSpaceDE w:val="0"/>
        <w:autoSpaceDN w:val="0"/>
        <w:adjustRightInd w:val="0"/>
        <w:rPr>
          <w:b/>
          <w:bCs/>
          <w:i/>
          <w:iCs/>
        </w:rPr>
      </w:pPr>
      <w:r w:rsidRPr="00346F13">
        <w:rPr>
          <w:u w:val="single"/>
        </w:rPr>
        <w:t xml:space="preserve">Indicator </w:t>
      </w:r>
      <w:r w:rsidR="003E49B2" w:rsidRPr="00346F13">
        <w:rPr>
          <w:u w:val="single"/>
        </w:rPr>
        <w:t>1</w:t>
      </w:r>
      <w:r w:rsidRPr="00346F13">
        <w:rPr>
          <w:u w:val="single"/>
        </w:rPr>
        <w:t>:</w:t>
      </w:r>
      <w:r w:rsidRPr="00346F13">
        <w:t xml:space="preserve"> </w:t>
      </w:r>
      <w:r w:rsidRPr="00346F13">
        <w:rPr>
          <w:b/>
          <w:bCs/>
          <w:i/>
          <w:iCs/>
        </w:rPr>
        <w:t xml:space="preserve">Share of exports supplied to </w:t>
      </w:r>
      <w:proofErr w:type="spellStart"/>
      <w:r w:rsidRPr="00346F13">
        <w:rPr>
          <w:b/>
          <w:bCs/>
          <w:i/>
          <w:iCs/>
        </w:rPr>
        <w:t>Covax</w:t>
      </w:r>
      <w:proofErr w:type="spellEnd"/>
      <w:r w:rsidRPr="00346F13">
        <w:rPr>
          <w:b/>
          <w:bCs/>
          <w:i/>
          <w:iCs/>
        </w:rPr>
        <w:t xml:space="preserve"> or AVAT (%) [Key vaccine producers]</w:t>
      </w:r>
    </w:p>
    <w:p w14:paraId="6DEC3FC7" w14:textId="77777777" w:rsidR="00BD7707" w:rsidRPr="00346F13" w:rsidRDefault="00BD7707" w:rsidP="00BD7707">
      <w:pPr>
        <w:autoSpaceDE w:val="0"/>
        <w:autoSpaceDN w:val="0"/>
        <w:adjustRightInd w:val="0"/>
      </w:pPr>
    </w:p>
    <w:p w14:paraId="1B57B905" w14:textId="52B35029" w:rsidR="00BD7707" w:rsidRPr="00346F13" w:rsidRDefault="00BD7707" w:rsidP="00BD7707">
      <w:r w:rsidRPr="00346F13">
        <w:rPr>
          <w:u w:val="single"/>
        </w:rPr>
        <w:t xml:space="preserve">Rationale: </w:t>
      </w:r>
      <w:r w:rsidRPr="00346F13">
        <w:t xml:space="preserve">For exporting countries, we </w:t>
      </w:r>
      <w:r w:rsidR="00346F13">
        <w:t>identified</w:t>
      </w:r>
      <w:r w:rsidRPr="00346F13">
        <w:t xml:space="preserve"> the share of exports supplied to </w:t>
      </w:r>
      <w:proofErr w:type="spellStart"/>
      <w:r w:rsidRPr="00346F13">
        <w:t>Covax</w:t>
      </w:r>
      <w:proofErr w:type="spellEnd"/>
      <w:r w:rsidRPr="00346F13">
        <w:t xml:space="preserve"> or AVAT</w:t>
      </w:r>
      <w:r w:rsidR="00346F13">
        <w:t xml:space="preserve"> through commercial agreements</w:t>
      </w:r>
      <w:r w:rsidRPr="00346F13">
        <w:t>, given the importance of these initiatives in distributing vaccines to LICs and MICs.</w:t>
      </w:r>
    </w:p>
    <w:p w14:paraId="0F61B4E2" w14:textId="77777777" w:rsidR="00BD7707" w:rsidRPr="00346F13" w:rsidRDefault="00BD7707" w:rsidP="00BD7707">
      <w:pPr>
        <w:autoSpaceDE w:val="0"/>
        <w:autoSpaceDN w:val="0"/>
        <w:adjustRightInd w:val="0"/>
      </w:pPr>
    </w:p>
    <w:p w14:paraId="32650131" w14:textId="77777777" w:rsidR="00BD7707" w:rsidRPr="00346F13" w:rsidRDefault="00BD7707" w:rsidP="00BD7707">
      <w:pPr>
        <w:autoSpaceDE w:val="0"/>
        <w:autoSpaceDN w:val="0"/>
        <w:adjustRightInd w:val="0"/>
      </w:pPr>
      <w:r w:rsidRPr="00346F13">
        <w:rPr>
          <w:u w:val="single"/>
        </w:rPr>
        <w:t>Source:</w:t>
      </w:r>
      <w:r w:rsidRPr="00346F13">
        <w:t xml:space="preserve"> </w:t>
      </w:r>
      <w:hyperlink r:id="rId18" w:history="1">
        <w:r w:rsidRPr="00346F13">
          <w:rPr>
            <w:rStyle w:val="Hyperlink"/>
          </w:rPr>
          <w:t>WTO-IMF Vaccine Trade Tracker</w:t>
        </w:r>
      </w:hyperlink>
    </w:p>
    <w:p w14:paraId="67EB8C64" w14:textId="77777777" w:rsidR="00BD7707" w:rsidRPr="00346F13" w:rsidRDefault="00BD7707" w:rsidP="00BD7707">
      <w:pPr>
        <w:autoSpaceDE w:val="0"/>
        <w:autoSpaceDN w:val="0"/>
        <w:adjustRightInd w:val="0"/>
      </w:pPr>
    </w:p>
    <w:p w14:paraId="5275BF21" w14:textId="77777777" w:rsidR="00BD7707" w:rsidRPr="00346F13" w:rsidRDefault="00BD7707" w:rsidP="00BD7707">
      <w:pPr>
        <w:autoSpaceDE w:val="0"/>
        <w:autoSpaceDN w:val="0"/>
        <w:adjustRightInd w:val="0"/>
      </w:pPr>
      <w:r w:rsidRPr="00346F13">
        <w:rPr>
          <w:u w:val="single"/>
        </w:rPr>
        <w:t>Construction:</w:t>
      </w:r>
      <w:r w:rsidRPr="00346F13">
        <w:t xml:space="preserve"> For key exporters, WTO provides data on the volume of exported doses and their composition.</w:t>
      </w:r>
      <w:r w:rsidRPr="00346F13">
        <w:rPr>
          <w:rStyle w:val="FootnoteReference"/>
        </w:rPr>
        <w:footnoteReference w:id="1"/>
      </w:r>
      <w:r w:rsidRPr="00346F13">
        <w:t xml:space="preserve"> We compute the share of exports supplied to </w:t>
      </w:r>
      <w:proofErr w:type="spellStart"/>
      <w:r w:rsidRPr="00346F13">
        <w:t>Covax</w:t>
      </w:r>
      <w:proofErr w:type="spellEnd"/>
      <w:r w:rsidRPr="00346F13">
        <w:t xml:space="preserve"> or AVAT through supply agreements as a percentage of total exports.</w:t>
      </w:r>
    </w:p>
    <w:p w14:paraId="7DAE8184" w14:textId="77777777" w:rsidR="00BD7707" w:rsidRPr="00346F13" w:rsidRDefault="00BD7707" w:rsidP="00BD7707">
      <w:pPr>
        <w:autoSpaceDE w:val="0"/>
        <w:autoSpaceDN w:val="0"/>
        <w:adjustRightInd w:val="0"/>
      </w:pPr>
    </w:p>
    <w:p w14:paraId="2AAB9BA4" w14:textId="77777777" w:rsidR="00BD7707" w:rsidRPr="00346F13" w:rsidRDefault="00BD7707" w:rsidP="00BD7707">
      <w:pPr>
        <w:autoSpaceDE w:val="0"/>
        <w:autoSpaceDN w:val="0"/>
        <w:adjustRightInd w:val="0"/>
        <w:rPr>
          <w:u w:val="single"/>
        </w:rPr>
      </w:pPr>
    </w:p>
    <w:p w14:paraId="147EB1A1" w14:textId="26EF5410" w:rsidR="00BD7707" w:rsidRPr="00346F13" w:rsidRDefault="00BD7707" w:rsidP="00BD7707">
      <w:pPr>
        <w:autoSpaceDE w:val="0"/>
        <w:autoSpaceDN w:val="0"/>
        <w:adjustRightInd w:val="0"/>
        <w:rPr>
          <w:b/>
          <w:bCs/>
          <w:i/>
          <w:iCs/>
        </w:rPr>
      </w:pPr>
      <w:r w:rsidRPr="00346F13">
        <w:rPr>
          <w:u w:val="single"/>
        </w:rPr>
        <w:t xml:space="preserve">Indicator </w:t>
      </w:r>
      <w:r w:rsidR="003E49B2" w:rsidRPr="00346F13">
        <w:rPr>
          <w:u w:val="single"/>
        </w:rPr>
        <w:t>2</w:t>
      </w:r>
      <w:r w:rsidRPr="00346F13">
        <w:rPr>
          <w:u w:val="single"/>
        </w:rPr>
        <w:t>:</w:t>
      </w:r>
      <w:r w:rsidRPr="00346F13">
        <w:rPr>
          <w:i/>
          <w:iCs/>
        </w:rPr>
        <w:t xml:space="preserve"> </w:t>
      </w:r>
      <w:r w:rsidRPr="00346F13">
        <w:rPr>
          <w:b/>
          <w:bCs/>
          <w:i/>
          <w:iCs/>
        </w:rPr>
        <w:t xml:space="preserve">Share of exports donated to </w:t>
      </w:r>
      <w:proofErr w:type="spellStart"/>
      <w:r w:rsidRPr="00346F13">
        <w:rPr>
          <w:b/>
          <w:bCs/>
          <w:i/>
          <w:iCs/>
        </w:rPr>
        <w:t>Covax</w:t>
      </w:r>
      <w:proofErr w:type="spellEnd"/>
      <w:r w:rsidRPr="00346F13">
        <w:rPr>
          <w:b/>
          <w:bCs/>
          <w:i/>
          <w:iCs/>
        </w:rPr>
        <w:t xml:space="preserve"> (%) [Key vaccine producers]</w:t>
      </w:r>
    </w:p>
    <w:p w14:paraId="5B71392A" w14:textId="77777777" w:rsidR="00BD7707" w:rsidRPr="00346F13" w:rsidRDefault="00BD7707" w:rsidP="00BD7707">
      <w:pPr>
        <w:tabs>
          <w:tab w:val="left" w:pos="1029"/>
        </w:tabs>
        <w:autoSpaceDE w:val="0"/>
        <w:autoSpaceDN w:val="0"/>
        <w:adjustRightInd w:val="0"/>
      </w:pPr>
    </w:p>
    <w:p w14:paraId="21AAEBA2" w14:textId="77777777" w:rsidR="00BD7707" w:rsidRPr="00346F13" w:rsidRDefault="00BD7707" w:rsidP="00BD7707">
      <w:r w:rsidRPr="00346F13">
        <w:rPr>
          <w:u w:val="single"/>
        </w:rPr>
        <w:t xml:space="preserve">Rationale: </w:t>
      </w:r>
      <w:r w:rsidRPr="00346F13">
        <w:t xml:space="preserve">For exporting countries, we are interested in the share of exports that are supplied to </w:t>
      </w:r>
      <w:proofErr w:type="spellStart"/>
      <w:r w:rsidRPr="00346F13">
        <w:t>Covax</w:t>
      </w:r>
      <w:proofErr w:type="spellEnd"/>
      <w:r w:rsidRPr="00346F13">
        <w:t xml:space="preserve"> or AVAT, given the importance of these initiatives in distributing vaccines to LICs and MICs.</w:t>
      </w:r>
    </w:p>
    <w:p w14:paraId="351E647E" w14:textId="77777777" w:rsidR="00BD7707" w:rsidRPr="00346F13" w:rsidRDefault="00BD7707" w:rsidP="00BD7707">
      <w:pPr>
        <w:autoSpaceDE w:val="0"/>
        <w:autoSpaceDN w:val="0"/>
        <w:adjustRightInd w:val="0"/>
      </w:pPr>
    </w:p>
    <w:p w14:paraId="6A0209EA" w14:textId="77777777" w:rsidR="00BD7707" w:rsidRPr="00346F13" w:rsidRDefault="00BD7707" w:rsidP="00BD7707">
      <w:pPr>
        <w:autoSpaceDE w:val="0"/>
        <w:autoSpaceDN w:val="0"/>
        <w:adjustRightInd w:val="0"/>
      </w:pPr>
      <w:r w:rsidRPr="00346F13">
        <w:rPr>
          <w:u w:val="single"/>
        </w:rPr>
        <w:t xml:space="preserve">Source: </w:t>
      </w:r>
      <w:hyperlink r:id="rId19" w:history="1">
        <w:r w:rsidRPr="00346F13">
          <w:rPr>
            <w:rStyle w:val="Hyperlink"/>
          </w:rPr>
          <w:t>WTO-IMF Vaccine Trade Tracker</w:t>
        </w:r>
      </w:hyperlink>
    </w:p>
    <w:p w14:paraId="6B435589" w14:textId="77777777" w:rsidR="00BD7707" w:rsidRPr="00346F13" w:rsidRDefault="00BD7707" w:rsidP="00BD7707">
      <w:pPr>
        <w:autoSpaceDE w:val="0"/>
        <w:autoSpaceDN w:val="0"/>
        <w:adjustRightInd w:val="0"/>
      </w:pPr>
    </w:p>
    <w:p w14:paraId="75689FF2" w14:textId="4BF5106E" w:rsidR="0053259F" w:rsidRDefault="00BD7707" w:rsidP="00737FA6">
      <w:pPr>
        <w:autoSpaceDE w:val="0"/>
        <w:autoSpaceDN w:val="0"/>
        <w:adjustRightInd w:val="0"/>
      </w:pPr>
      <w:r w:rsidRPr="00346F13">
        <w:rPr>
          <w:u w:val="single"/>
        </w:rPr>
        <w:t xml:space="preserve">Construction: </w:t>
      </w:r>
      <w:r w:rsidRPr="00346F13">
        <w:t xml:space="preserve">For key exporters, WTO provides data on the volume of exported doses and their composition. We compute the share of exports donated to </w:t>
      </w:r>
      <w:proofErr w:type="spellStart"/>
      <w:r w:rsidRPr="00346F13">
        <w:t>Covax</w:t>
      </w:r>
      <w:proofErr w:type="spellEnd"/>
      <w:r w:rsidRPr="00346F13">
        <w:t xml:space="preserve"> or AVAT as a percentage of total exports.</w:t>
      </w:r>
    </w:p>
    <w:p w14:paraId="13842641" w14:textId="4FBC45D5" w:rsidR="000F194E" w:rsidRDefault="000F194E" w:rsidP="00737FA6">
      <w:pPr>
        <w:autoSpaceDE w:val="0"/>
        <w:autoSpaceDN w:val="0"/>
        <w:adjustRightInd w:val="0"/>
      </w:pPr>
    </w:p>
    <w:p w14:paraId="6151C8AF" w14:textId="6AED711E" w:rsidR="000F194E" w:rsidRPr="00346F13" w:rsidRDefault="000F194E" w:rsidP="000F194E">
      <w:pPr>
        <w:autoSpaceDE w:val="0"/>
        <w:autoSpaceDN w:val="0"/>
        <w:adjustRightInd w:val="0"/>
      </w:pPr>
      <w:r w:rsidRPr="00346F13">
        <w:rPr>
          <w:u w:val="single"/>
        </w:rPr>
        <w:t>Limitations</w:t>
      </w:r>
      <w:r>
        <w:rPr>
          <w:u w:val="single"/>
        </w:rPr>
        <w:t xml:space="preserve"> for indicators 1 and 2</w:t>
      </w:r>
      <w:r w:rsidRPr="00346F13">
        <w:rPr>
          <w:u w:val="single"/>
        </w:rPr>
        <w:t>:</w:t>
      </w:r>
      <w:r w:rsidRPr="00346F13">
        <w:t xml:space="preserve"> We cannot discount doses supplied with a short shelf life as this data is not publicly available. Data are available for key producers only and only in summary </w:t>
      </w:r>
      <w:r w:rsidRPr="00346F13">
        <w:lastRenderedPageBreak/>
        <w:t>and cumulated form. We do not have data on any swaps or imports that would allow forming a more complete profile of the vaccine trade.</w:t>
      </w:r>
    </w:p>
    <w:p w14:paraId="04CFDB64" w14:textId="77777777" w:rsidR="000F194E" w:rsidRPr="00737FA6" w:rsidRDefault="000F194E" w:rsidP="00737FA6">
      <w:pPr>
        <w:autoSpaceDE w:val="0"/>
        <w:autoSpaceDN w:val="0"/>
        <w:adjustRightInd w:val="0"/>
        <w:rPr>
          <w:u w:val="single"/>
        </w:rPr>
      </w:pPr>
    </w:p>
    <w:p w14:paraId="5740F68B" w14:textId="01B70431" w:rsidR="0053259F" w:rsidRDefault="008D42A4" w:rsidP="00EB05CB">
      <w:pPr>
        <w:pStyle w:val="Heading1"/>
      </w:pPr>
      <w:bookmarkStart w:id="5" w:name="_Toc99301431"/>
      <w:r>
        <w:t>References</w:t>
      </w:r>
      <w:bookmarkEnd w:id="5"/>
    </w:p>
    <w:p w14:paraId="7ABD0EE6" w14:textId="77777777" w:rsidR="0053259F" w:rsidRDefault="0053259F" w:rsidP="0086514A"/>
    <w:p w14:paraId="15106B84" w14:textId="723F200A" w:rsidR="0086514A" w:rsidRPr="00F857ED" w:rsidRDefault="0086514A" w:rsidP="0086514A">
      <w:r w:rsidRPr="00F857ED">
        <w:t>ACT-Accelerator (2021a) Prioritized Strategy &amp; Budget for 2021, April (</w:t>
      </w:r>
      <w:hyperlink r:id="rId20" w:history="1">
        <w:r w:rsidRPr="00F857ED">
          <w:rPr>
            <w:rStyle w:val="Hyperlink"/>
          </w:rPr>
          <w:t>https://www.who.int/publications/m/item/act-a-prioritized-strategy-and-budget-for-2021</w:t>
        </w:r>
      </w:hyperlink>
      <w:r w:rsidRPr="00F857ED">
        <w:t>)</w:t>
      </w:r>
    </w:p>
    <w:p w14:paraId="5B7E3DA9" w14:textId="454BC67A" w:rsidR="0086514A" w:rsidRPr="00F857ED" w:rsidRDefault="0086514A"/>
    <w:p w14:paraId="070A13FC" w14:textId="4AD4815A" w:rsidR="0086514A" w:rsidRDefault="0086514A">
      <w:r w:rsidRPr="00F857ED">
        <w:t xml:space="preserve">ACT-Accelerator (2021b), </w:t>
      </w:r>
      <w:r w:rsidRPr="00F857ED">
        <w:rPr>
          <w:i/>
          <w:iCs/>
        </w:rPr>
        <w:t>8th Facilitation Council Financing Framework</w:t>
      </w:r>
      <w:r w:rsidRPr="00F857ED">
        <w:t>, 9 December (</w:t>
      </w:r>
      <w:hyperlink r:id="rId21" w:history="1">
        <w:r w:rsidRPr="00F857ED">
          <w:rPr>
            <w:rStyle w:val="Hyperlink"/>
          </w:rPr>
          <w:t>https://www.who.int/docs/default-source/coronaviruse/act-accelerator/3_financing-act-a_8thcouncil_9dec2021.pdf?sfvrsn=a77d4293_1&amp;download=true</w:t>
        </w:r>
      </w:hyperlink>
      <w:r w:rsidRPr="00F857ED">
        <w:t>)</w:t>
      </w:r>
    </w:p>
    <w:p w14:paraId="68778502" w14:textId="77777777" w:rsidR="00D6038E" w:rsidRDefault="00D6038E" w:rsidP="00D6038E"/>
    <w:p w14:paraId="19944714" w14:textId="24335010" w:rsidR="00D6038E" w:rsidRPr="00F857ED" w:rsidRDefault="00D6038E">
      <w:proofErr w:type="spellStart"/>
      <w:r w:rsidRPr="00D6038E">
        <w:t>Cherchye</w:t>
      </w:r>
      <w:proofErr w:type="spellEnd"/>
      <w:r w:rsidRPr="00D6038E">
        <w:t xml:space="preserve">, L., </w:t>
      </w:r>
      <w:proofErr w:type="spellStart"/>
      <w:r w:rsidRPr="00D6038E">
        <w:t>Ooghe</w:t>
      </w:r>
      <w:proofErr w:type="spellEnd"/>
      <w:r w:rsidRPr="00D6038E">
        <w:t xml:space="preserve">, E. and Van </w:t>
      </w:r>
      <w:proofErr w:type="spellStart"/>
      <w:r w:rsidRPr="00D6038E">
        <w:t>Puyenbroeck</w:t>
      </w:r>
      <w:proofErr w:type="spellEnd"/>
      <w:r w:rsidRPr="00D6038E">
        <w:t>, T., 2008. Robust human development rankings. The Journal of Economic Inequality, 6(4), pp.287-321</w:t>
      </w:r>
      <w:r w:rsidR="000038BE">
        <w:t>.</w:t>
      </w:r>
    </w:p>
    <w:p w14:paraId="1E479A7E" w14:textId="77777777" w:rsidR="0086514A" w:rsidRPr="00F857ED" w:rsidRDefault="0086514A"/>
    <w:p w14:paraId="222B964D" w14:textId="3FAD4594" w:rsidR="00BD7707" w:rsidRPr="00F857ED" w:rsidRDefault="00BD7707" w:rsidP="00BD7707">
      <w:r w:rsidRPr="00F857ED">
        <w:t xml:space="preserve">Global Burden of Disease 2020 Health Financing Collaborator Network (2021) ‘Tracking development assistance for health and for COVID-19: a review of development assistance, government, out-of-pocket, and other private spending on health for 204 countries and territories, 1990–2050’ </w:t>
      </w:r>
      <w:r w:rsidRPr="00F857ED">
        <w:rPr>
          <w:i/>
          <w:iCs/>
        </w:rPr>
        <w:t xml:space="preserve">The Lancet </w:t>
      </w:r>
      <w:r w:rsidRPr="00F857ED">
        <w:t>398: 1317–43.</w:t>
      </w:r>
    </w:p>
    <w:p w14:paraId="75532770" w14:textId="121CEA61" w:rsidR="00B0206A" w:rsidRPr="00F857ED" w:rsidRDefault="00B0206A" w:rsidP="00BD7707"/>
    <w:p w14:paraId="7A5833EC" w14:textId="000ED1C0" w:rsidR="00B0206A" w:rsidRPr="00F857ED" w:rsidRDefault="00B0206A" w:rsidP="00BD7707">
      <w:r w:rsidRPr="00F857ED">
        <w:t>Kanter, J. (2021), ‘Are Biden’s Global Vaccine Targets Enough – And Will They Mobilize Real Action?’ Global Citizen, September 14 (</w:t>
      </w:r>
      <w:hyperlink r:id="rId22" w:history="1">
        <w:r w:rsidRPr="00F857ED">
          <w:rPr>
            <w:rStyle w:val="Hyperlink"/>
          </w:rPr>
          <w:t>Are Biden's Global Vaccine Targets Enough — And Will They Mobilize Real Action? (globalcitizen.org)</w:t>
        </w:r>
      </w:hyperlink>
      <w:r w:rsidRPr="00F857ED">
        <w:t>).</w:t>
      </w:r>
    </w:p>
    <w:p w14:paraId="06F5E3AA" w14:textId="62CEBD7E" w:rsidR="00BD7707" w:rsidRPr="00F857ED" w:rsidRDefault="00BD7707"/>
    <w:p w14:paraId="4DC40A2C" w14:textId="7B381E65" w:rsidR="00D6038E" w:rsidRDefault="0086514A" w:rsidP="0086514A">
      <w:r w:rsidRPr="00F857ED">
        <w:t xml:space="preserve">Médecins san </w:t>
      </w:r>
      <w:r w:rsidRPr="00F857ED">
        <w:rPr>
          <w:lang w:val="fr-FR"/>
        </w:rPr>
        <w:t>Frontières</w:t>
      </w:r>
      <w:r w:rsidRPr="00F857ED">
        <w:t xml:space="preserve"> (2021), ‘Countries obstructing Covid-19 patent waiver must allow negotiations to start’, Webpage, March 9 (</w:t>
      </w:r>
      <w:hyperlink r:id="rId23" w:history="1">
        <w:r w:rsidR="00D6038E" w:rsidRPr="00612209">
          <w:rPr>
            <w:rStyle w:val="Hyperlink"/>
          </w:rPr>
          <w:t>https://www.msf.org/countries-obstructing-covid-19-patent-waiver-must-allow-negotiations</w:t>
        </w:r>
      </w:hyperlink>
      <w:r w:rsidRPr="00F857ED">
        <w:t>)</w:t>
      </w:r>
    </w:p>
    <w:p w14:paraId="32F2F32A" w14:textId="2D677072" w:rsidR="0053259F" w:rsidRPr="0053259F" w:rsidRDefault="0053259F" w:rsidP="0086514A"/>
    <w:p w14:paraId="74518540" w14:textId="0CF55454" w:rsidR="0053259F" w:rsidRPr="00F857ED" w:rsidRDefault="0053259F" w:rsidP="0086514A">
      <w:r w:rsidRPr="0053259F">
        <w:rPr>
          <w:color w:val="222222"/>
          <w:shd w:val="clear" w:color="auto" w:fill="FFFFFF"/>
        </w:rPr>
        <w:t>McGillivray, M. and White, H., 1993. Measuring development? The UNDP's human development index. </w:t>
      </w:r>
      <w:r w:rsidRPr="0053259F">
        <w:rPr>
          <w:i/>
          <w:iCs/>
          <w:color w:val="222222"/>
          <w:shd w:val="clear" w:color="auto" w:fill="FFFFFF"/>
        </w:rPr>
        <w:t>Journal of international development</w:t>
      </w:r>
      <w:r w:rsidRPr="0053259F">
        <w:rPr>
          <w:color w:val="222222"/>
          <w:shd w:val="clear" w:color="auto" w:fill="FFFFFF"/>
        </w:rPr>
        <w:t>, </w:t>
      </w:r>
      <w:r w:rsidRPr="0053259F">
        <w:rPr>
          <w:i/>
          <w:iCs/>
          <w:color w:val="222222"/>
          <w:shd w:val="clear" w:color="auto" w:fill="FFFFFF"/>
        </w:rPr>
        <w:t>5</w:t>
      </w:r>
      <w:r w:rsidRPr="0053259F">
        <w:rPr>
          <w:color w:val="222222"/>
          <w:shd w:val="clear" w:color="auto" w:fill="FFFFFF"/>
        </w:rPr>
        <w:t>(2), pp.183-192.</w:t>
      </w:r>
    </w:p>
    <w:p w14:paraId="19A3F0E0" w14:textId="77777777" w:rsidR="0086514A" w:rsidRPr="00F857ED" w:rsidRDefault="0086514A" w:rsidP="0086514A">
      <w:pPr>
        <w:pStyle w:val="FootnoteText"/>
        <w:rPr>
          <w:sz w:val="24"/>
          <w:szCs w:val="24"/>
        </w:rPr>
      </w:pPr>
    </w:p>
    <w:p w14:paraId="3E48ED86" w14:textId="5BC7C380" w:rsidR="0086514A" w:rsidRPr="00F857ED" w:rsidRDefault="0086514A" w:rsidP="0086514A">
      <w:pPr>
        <w:pStyle w:val="FootnoteText"/>
        <w:rPr>
          <w:sz w:val="24"/>
          <w:szCs w:val="24"/>
        </w:rPr>
      </w:pPr>
      <w:r w:rsidRPr="00F857ED">
        <w:rPr>
          <w:sz w:val="24"/>
          <w:szCs w:val="24"/>
        </w:rPr>
        <w:t xml:space="preserve">Robinson, R., </w:t>
      </w:r>
      <w:proofErr w:type="spellStart"/>
      <w:r w:rsidRPr="00F857ED">
        <w:rPr>
          <w:sz w:val="24"/>
          <w:szCs w:val="24"/>
        </w:rPr>
        <w:t>Cichocka</w:t>
      </w:r>
      <w:proofErr w:type="spellEnd"/>
      <w:r w:rsidRPr="00F857ED">
        <w:rPr>
          <w:sz w:val="24"/>
          <w:szCs w:val="24"/>
        </w:rPr>
        <w:t xml:space="preserve">, B., Ritchie, E. and Mitchell, I. (2021) </w:t>
      </w:r>
      <w:r w:rsidRPr="00F857ED">
        <w:rPr>
          <w:i/>
          <w:iCs/>
          <w:sz w:val="24"/>
          <w:szCs w:val="24"/>
        </w:rPr>
        <w:t>The Commitment to Development Index: 2021 Edition, Methodological Overview Paper</w:t>
      </w:r>
      <w:r w:rsidRPr="00F857ED">
        <w:rPr>
          <w:sz w:val="24"/>
          <w:szCs w:val="24"/>
        </w:rPr>
        <w:t>, September. Center for Global Development (</w:t>
      </w:r>
      <w:hyperlink r:id="rId24" w:anchor="page=59" w:history="1">
        <w:r w:rsidRPr="00F857ED">
          <w:rPr>
            <w:rStyle w:val="Hyperlink"/>
            <w:sz w:val="24"/>
            <w:szCs w:val="24"/>
          </w:rPr>
          <w:t>cdi-methodology-2021.pdf (cgdev.org)</w:t>
        </w:r>
      </w:hyperlink>
      <w:r w:rsidRPr="00F857ED">
        <w:rPr>
          <w:sz w:val="24"/>
          <w:szCs w:val="24"/>
        </w:rPr>
        <w:t>).</w:t>
      </w:r>
    </w:p>
    <w:p w14:paraId="304888E1" w14:textId="69B7EE1C" w:rsidR="00FC4BCD" w:rsidRPr="00F857ED" w:rsidRDefault="00FC4BCD"/>
    <w:p w14:paraId="4372ED23" w14:textId="77777777" w:rsidR="00B0206A" w:rsidRPr="00F857ED" w:rsidRDefault="00B0206A" w:rsidP="00B0206A">
      <w:pPr>
        <w:rPr>
          <w:i/>
          <w:iCs/>
        </w:rPr>
      </w:pPr>
      <w:proofErr w:type="spellStart"/>
      <w:r w:rsidRPr="00F857ED">
        <w:rPr>
          <w:color w:val="222222"/>
          <w:shd w:val="clear" w:color="auto" w:fill="FFFFFF"/>
        </w:rPr>
        <w:t>Silcock</w:t>
      </w:r>
      <w:proofErr w:type="spellEnd"/>
      <w:r w:rsidRPr="00F857ED">
        <w:rPr>
          <w:color w:val="222222"/>
          <w:shd w:val="clear" w:color="auto" w:fill="FFFFFF"/>
        </w:rPr>
        <w:t xml:space="preserve">, E. and </w:t>
      </w:r>
      <w:proofErr w:type="spellStart"/>
      <w:r w:rsidRPr="00F857ED">
        <w:rPr>
          <w:color w:val="222222"/>
          <w:shd w:val="clear" w:color="auto" w:fill="FFFFFF"/>
        </w:rPr>
        <w:t>Gulrajani</w:t>
      </w:r>
      <w:proofErr w:type="spellEnd"/>
      <w:r w:rsidRPr="00F857ED">
        <w:rPr>
          <w:color w:val="222222"/>
          <w:shd w:val="clear" w:color="auto" w:fill="FFFFFF"/>
        </w:rPr>
        <w:t xml:space="preserve">, N., 2020. What is principled </w:t>
      </w:r>
      <w:proofErr w:type="gramStart"/>
      <w:r w:rsidRPr="00F857ED">
        <w:rPr>
          <w:color w:val="222222"/>
          <w:shd w:val="clear" w:color="auto" w:fill="FFFFFF"/>
        </w:rPr>
        <w:t>aid?.</w:t>
      </w:r>
      <w:proofErr w:type="gramEnd"/>
      <w:r w:rsidRPr="00F857ED">
        <w:rPr>
          <w:color w:val="222222"/>
          <w:shd w:val="clear" w:color="auto" w:fill="FFFFFF"/>
        </w:rPr>
        <w:t xml:space="preserve"> Measuring donor motivations in 2020. Working paper 597. London: (ODI) (</w:t>
      </w:r>
      <w:hyperlink r:id="rId25" w:history="1">
        <w:r w:rsidRPr="00F857ED">
          <w:rPr>
            <w:rStyle w:val="Hyperlink"/>
            <w:shd w:val="clear" w:color="auto" w:fill="FFFFFF"/>
          </w:rPr>
          <w:t>https://cdn.odi.org/media/documents/pai_technical_annex_final.pdf</w:t>
        </w:r>
      </w:hyperlink>
      <w:r w:rsidRPr="00F857ED">
        <w:rPr>
          <w:color w:val="222222"/>
          <w:shd w:val="clear" w:color="auto" w:fill="FFFFFF"/>
        </w:rPr>
        <w:t>).</w:t>
      </w:r>
      <w:r w:rsidRPr="00F857ED">
        <w:rPr>
          <w:i/>
          <w:iCs/>
        </w:rPr>
        <w:t xml:space="preserve"> </w:t>
      </w:r>
    </w:p>
    <w:p w14:paraId="659FCB58" w14:textId="77777777" w:rsidR="0086514A" w:rsidRPr="00F857ED" w:rsidRDefault="0086514A" w:rsidP="00FC4BCD"/>
    <w:p w14:paraId="5BE07CCE" w14:textId="15A13CA2" w:rsidR="00FC4BCD" w:rsidRPr="00F857ED" w:rsidRDefault="00FC4BCD" w:rsidP="00FC4BCD">
      <w:r w:rsidRPr="00F857ED">
        <w:t>The Global Trade Alert Team (2020), The Covid-19 Pandemic: 21</w:t>
      </w:r>
      <w:r w:rsidRPr="00F857ED">
        <w:rPr>
          <w:vertAlign w:val="superscript"/>
        </w:rPr>
        <w:t>st</w:t>
      </w:r>
      <w:r w:rsidRPr="00F857ED">
        <w:t xml:space="preserve"> century approaches to tracking trade policy responses in real-time, Methodological Note, 2 May (</w:t>
      </w:r>
      <w:hyperlink r:id="rId26" w:history="1">
        <w:r w:rsidRPr="00F857ED">
          <w:rPr>
            <w:rStyle w:val="Hyperlink"/>
          </w:rPr>
          <w:t>https://www.globaltradealert.org/reports/54</w:t>
        </w:r>
      </w:hyperlink>
      <w:r w:rsidRPr="00F857ED">
        <w:t>)</w:t>
      </w:r>
    </w:p>
    <w:p w14:paraId="5036A839" w14:textId="77777777" w:rsidR="00FC4BCD" w:rsidRPr="00F857ED" w:rsidRDefault="00FC4BCD"/>
    <w:sectPr w:rsidR="00FC4BCD" w:rsidRPr="00F857ED">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89D1" w14:textId="77777777" w:rsidR="00140D00" w:rsidRDefault="00140D00" w:rsidP="00BD7707">
      <w:r>
        <w:separator/>
      </w:r>
    </w:p>
  </w:endnote>
  <w:endnote w:type="continuationSeparator" w:id="0">
    <w:p w14:paraId="35D005B8" w14:textId="77777777" w:rsidR="00140D00" w:rsidRDefault="00140D00" w:rsidP="00B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eightSans Pro Book">
    <w:altName w:val="FreightSans Pro Book"/>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8967254"/>
      <w:docPartObj>
        <w:docPartGallery w:val="Page Numbers (Bottom of Page)"/>
        <w:docPartUnique/>
      </w:docPartObj>
    </w:sdtPr>
    <w:sdtContent>
      <w:p w14:paraId="3B33A334" w14:textId="3792413F" w:rsidR="000F194E" w:rsidRDefault="000F194E" w:rsidP="00464E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2C384" w14:textId="77777777" w:rsidR="000F194E" w:rsidRDefault="000F194E" w:rsidP="000F1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7515577"/>
      <w:docPartObj>
        <w:docPartGallery w:val="Page Numbers (Bottom of Page)"/>
        <w:docPartUnique/>
      </w:docPartObj>
    </w:sdtPr>
    <w:sdtContent>
      <w:p w14:paraId="61D26B4D" w14:textId="37062678" w:rsidR="000F194E" w:rsidRDefault="000F194E" w:rsidP="00464E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FE7B70" w14:textId="77777777" w:rsidR="000F194E" w:rsidRDefault="000F194E" w:rsidP="000F19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DDE1" w14:textId="77777777" w:rsidR="00140D00" w:rsidRDefault="00140D00" w:rsidP="00BD7707">
      <w:r>
        <w:separator/>
      </w:r>
    </w:p>
  </w:footnote>
  <w:footnote w:type="continuationSeparator" w:id="0">
    <w:p w14:paraId="11EF6B7E" w14:textId="77777777" w:rsidR="00140D00" w:rsidRDefault="00140D00" w:rsidP="00BD7707">
      <w:r>
        <w:continuationSeparator/>
      </w:r>
    </w:p>
  </w:footnote>
  <w:footnote w:id="1">
    <w:p w14:paraId="2A130DAE" w14:textId="77777777" w:rsidR="00BD7707" w:rsidRPr="00C52081" w:rsidRDefault="00BD7707" w:rsidP="00BD7707">
      <w:pPr>
        <w:pStyle w:val="FootnoteText"/>
      </w:pPr>
      <w:r w:rsidRPr="00C52081">
        <w:rPr>
          <w:rStyle w:val="FootnoteReference"/>
        </w:rPr>
        <w:footnoteRef/>
      </w:r>
      <w:r w:rsidRPr="00C52081">
        <w:t xml:space="preserve"> Excepting Japan, for which only aggregate export figures are provided. We therefore do not include Japan in the set of exporting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464"/>
    <w:multiLevelType w:val="hybridMultilevel"/>
    <w:tmpl w:val="4E3A93D6"/>
    <w:lvl w:ilvl="0" w:tplc="4E0A59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06C7"/>
    <w:multiLevelType w:val="multilevel"/>
    <w:tmpl w:val="87704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F5A17F8"/>
    <w:multiLevelType w:val="multilevel"/>
    <w:tmpl w:val="75CEF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A3F1B"/>
    <w:multiLevelType w:val="hybridMultilevel"/>
    <w:tmpl w:val="7D8282B6"/>
    <w:lvl w:ilvl="0" w:tplc="E46A3D2C">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651B"/>
    <w:multiLevelType w:val="hybridMultilevel"/>
    <w:tmpl w:val="5A9EC80C"/>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91763"/>
    <w:multiLevelType w:val="hybridMultilevel"/>
    <w:tmpl w:val="F066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55A35"/>
    <w:multiLevelType w:val="multilevel"/>
    <w:tmpl w:val="B5389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0592B"/>
    <w:multiLevelType w:val="hybridMultilevel"/>
    <w:tmpl w:val="C89A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01F32"/>
    <w:multiLevelType w:val="multilevel"/>
    <w:tmpl w:val="0844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611403"/>
    <w:multiLevelType w:val="hybridMultilevel"/>
    <w:tmpl w:val="80F23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7232A"/>
    <w:multiLevelType w:val="hybridMultilevel"/>
    <w:tmpl w:val="C4520F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0337"/>
    <w:multiLevelType w:val="hybridMultilevel"/>
    <w:tmpl w:val="C22E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6"/>
  </w:num>
  <w:num w:numId="5">
    <w:abstractNumId w:val="1"/>
  </w:num>
  <w:num w:numId="6">
    <w:abstractNumId w:val="4"/>
  </w:num>
  <w:num w:numId="7">
    <w:abstractNumId w:val="3"/>
  </w:num>
  <w:num w:numId="8">
    <w:abstractNumId w:val="11"/>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707"/>
    <w:rsid w:val="000038BE"/>
    <w:rsid w:val="000270CD"/>
    <w:rsid w:val="000755A0"/>
    <w:rsid w:val="000E3B70"/>
    <w:rsid w:val="000F194E"/>
    <w:rsid w:val="00140D00"/>
    <w:rsid w:val="00157189"/>
    <w:rsid w:val="001A11FC"/>
    <w:rsid w:val="002036A3"/>
    <w:rsid w:val="00221F2B"/>
    <w:rsid w:val="00327803"/>
    <w:rsid w:val="00331F1E"/>
    <w:rsid w:val="00346F13"/>
    <w:rsid w:val="003E49B2"/>
    <w:rsid w:val="004402FE"/>
    <w:rsid w:val="00520FF6"/>
    <w:rsid w:val="0053259F"/>
    <w:rsid w:val="00535A52"/>
    <w:rsid w:val="0065250E"/>
    <w:rsid w:val="00653967"/>
    <w:rsid w:val="006A1C73"/>
    <w:rsid w:val="00737FA6"/>
    <w:rsid w:val="007E540D"/>
    <w:rsid w:val="008515AC"/>
    <w:rsid w:val="0086514A"/>
    <w:rsid w:val="00874193"/>
    <w:rsid w:val="008D42A4"/>
    <w:rsid w:val="009F1C06"/>
    <w:rsid w:val="00AF7228"/>
    <w:rsid w:val="00B0206A"/>
    <w:rsid w:val="00B032B3"/>
    <w:rsid w:val="00B40B70"/>
    <w:rsid w:val="00B5030D"/>
    <w:rsid w:val="00B61721"/>
    <w:rsid w:val="00B7724E"/>
    <w:rsid w:val="00BD7707"/>
    <w:rsid w:val="00C33BDC"/>
    <w:rsid w:val="00C429D9"/>
    <w:rsid w:val="00C52081"/>
    <w:rsid w:val="00CA1BF8"/>
    <w:rsid w:val="00CD0D06"/>
    <w:rsid w:val="00D45EA9"/>
    <w:rsid w:val="00D6038E"/>
    <w:rsid w:val="00D62BC1"/>
    <w:rsid w:val="00D76D4E"/>
    <w:rsid w:val="00E46797"/>
    <w:rsid w:val="00EB05CB"/>
    <w:rsid w:val="00EC6E4B"/>
    <w:rsid w:val="00F252D6"/>
    <w:rsid w:val="00F51AD2"/>
    <w:rsid w:val="00F638AC"/>
    <w:rsid w:val="00F857ED"/>
    <w:rsid w:val="00FB452D"/>
    <w:rsid w:val="00FC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DB57"/>
  <w15:chartTrackingRefBased/>
  <w15:docId w15:val="{7FF90867-176E-704B-9C1E-4E67BB9B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07"/>
    <w:rPr>
      <w:rFonts w:ascii="Times New Roman" w:eastAsia="Times New Roman" w:hAnsi="Times New Roman" w:cs="Times New Roman"/>
    </w:rPr>
  </w:style>
  <w:style w:type="paragraph" w:styleId="Heading1">
    <w:name w:val="heading 1"/>
    <w:basedOn w:val="Normal"/>
    <w:next w:val="Normal"/>
    <w:link w:val="Heading1Char"/>
    <w:uiPriority w:val="9"/>
    <w:qFormat/>
    <w:rsid w:val="004402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2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42A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20F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707"/>
    <w:pPr>
      <w:ind w:left="720"/>
      <w:contextualSpacing/>
    </w:pPr>
  </w:style>
  <w:style w:type="character" w:styleId="Hyperlink">
    <w:name w:val="Hyperlink"/>
    <w:basedOn w:val="DefaultParagraphFont"/>
    <w:uiPriority w:val="99"/>
    <w:unhideWhenUsed/>
    <w:rsid w:val="00BD7707"/>
    <w:rPr>
      <w:color w:val="0000FF"/>
      <w:u w:val="single"/>
    </w:rPr>
  </w:style>
  <w:style w:type="paragraph" w:styleId="FootnoteText">
    <w:name w:val="footnote text"/>
    <w:basedOn w:val="Normal"/>
    <w:link w:val="FootnoteTextChar"/>
    <w:uiPriority w:val="99"/>
    <w:unhideWhenUsed/>
    <w:rsid w:val="00BD7707"/>
    <w:rPr>
      <w:sz w:val="20"/>
      <w:szCs w:val="20"/>
    </w:rPr>
  </w:style>
  <w:style w:type="character" w:customStyle="1" w:styleId="FootnoteTextChar">
    <w:name w:val="Footnote Text Char"/>
    <w:basedOn w:val="DefaultParagraphFont"/>
    <w:link w:val="FootnoteText"/>
    <w:uiPriority w:val="99"/>
    <w:rsid w:val="00BD77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7707"/>
    <w:rPr>
      <w:vertAlign w:val="superscript"/>
    </w:rPr>
  </w:style>
  <w:style w:type="character" w:customStyle="1" w:styleId="Heading1Char">
    <w:name w:val="Heading 1 Char"/>
    <w:basedOn w:val="DefaultParagraphFont"/>
    <w:link w:val="Heading1"/>
    <w:uiPriority w:val="9"/>
    <w:rsid w:val="004402F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638AC"/>
    <w:rPr>
      <w:sz w:val="22"/>
      <w:szCs w:val="22"/>
    </w:rPr>
  </w:style>
  <w:style w:type="character" w:customStyle="1" w:styleId="apple-converted-space">
    <w:name w:val="apple-converted-space"/>
    <w:basedOn w:val="DefaultParagraphFont"/>
    <w:rsid w:val="00D6038E"/>
  </w:style>
  <w:style w:type="character" w:styleId="UnresolvedMention">
    <w:name w:val="Unresolved Mention"/>
    <w:basedOn w:val="DefaultParagraphFont"/>
    <w:uiPriority w:val="99"/>
    <w:semiHidden/>
    <w:unhideWhenUsed/>
    <w:rsid w:val="00D6038E"/>
    <w:rPr>
      <w:color w:val="605E5C"/>
      <w:shd w:val="clear" w:color="auto" w:fill="E1DFDD"/>
    </w:rPr>
  </w:style>
  <w:style w:type="character" w:customStyle="1" w:styleId="Heading4Char">
    <w:name w:val="Heading 4 Char"/>
    <w:basedOn w:val="DefaultParagraphFont"/>
    <w:link w:val="Heading4"/>
    <w:uiPriority w:val="9"/>
    <w:rsid w:val="00520FF6"/>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0755A0"/>
    <w:rPr>
      <w:color w:val="954F72" w:themeColor="followedHyperlink"/>
      <w:u w:val="single"/>
    </w:rPr>
  </w:style>
  <w:style w:type="paragraph" w:styleId="Title">
    <w:name w:val="Title"/>
    <w:basedOn w:val="Normal"/>
    <w:next w:val="Normal"/>
    <w:link w:val="TitleChar"/>
    <w:uiPriority w:val="10"/>
    <w:qFormat/>
    <w:rsid w:val="008D42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42A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D42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42A4"/>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3E49B2"/>
    <w:pPr>
      <w:spacing w:before="480" w:line="276" w:lineRule="auto"/>
      <w:outlineLvl w:val="9"/>
    </w:pPr>
    <w:rPr>
      <w:b/>
      <w:bCs/>
      <w:sz w:val="28"/>
      <w:szCs w:val="28"/>
    </w:rPr>
  </w:style>
  <w:style w:type="paragraph" w:styleId="TOC1">
    <w:name w:val="toc 1"/>
    <w:basedOn w:val="Normal"/>
    <w:next w:val="Normal"/>
    <w:autoRedefine/>
    <w:uiPriority w:val="39"/>
    <w:unhideWhenUsed/>
    <w:rsid w:val="003E49B2"/>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3E49B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3E49B2"/>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3E49B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3E49B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3E49B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3E49B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3E49B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3E49B2"/>
    <w:pPr>
      <w:ind w:left="1920"/>
    </w:pPr>
    <w:rPr>
      <w:rFonts w:asciiTheme="minorHAnsi" w:hAnsiTheme="minorHAnsi" w:cstheme="minorHAnsi"/>
      <w:sz w:val="20"/>
      <w:szCs w:val="20"/>
    </w:rPr>
  </w:style>
  <w:style w:type="paragraph" w:customStyle="1" w:styleId="Pa13">
    <w:name w:val="Pa13"/>
    <w:basedOn w:val="Normal"/>
    <w:next w:val="Normal"/>
    <w:uiPriority w:val="99"/>
    <w:rsid w:val="00E46797"/>
    <w:pPr>
      <w:autoSpaceDE w:val="0"/>
      <w:autoSpaceDN w:val="0"/>
      <w:adjustRightInd w:val="0"/>
      <w:spacing w:line="211" w:lineRule="atLeast"/>
    </w:pPr>
    <w:rPr>
      <w:rFonts w:ascii="FreightSans Pro Book" w:eastAsiaTheme="minorHAnsi" w:hAnsi="FreightSans Pro Book" w:cstheme="minorBidi"/>
    </w:rPr>
  </w:style>
  <w:style w:type="paragraph" w:styleId="Footer">
    <w:name w:val="footer"/>
    <w:basedOn w:val="Normal"/>
    <w:link w:val="FooterChar"/>
    <w:uiPriority w:val="99"/>
    <w:unhideWhenUsed/>
    <w:rsid w:val="000F194E"/>
    <w:pPr>
      <w:tabs>
        <w:tab w:val="center" w:pos="4680"/>
        <w:tab w:val="right" w:pos="9360"/>
      </w:tabs>
    </w:pPr>
  </w:style>
  <w:style w:type="character" w:customStyle="1" w:styleId="FooterChar">
    <w:name w:val="Footer Char"/>
    <w:basedOn w:val="DefaultParagraphFont"/>
    <w:link w:val="Footer"/>
    <w:uiPriority w:val="99"/>
    <w:rsid w:val="000F194E"/>
    <w:rPr>
      <w:rFonts w:ascii="Times New Roman" w:eastAsia="Times New Roman" w:hAnsi="Times New Roman" w:cs="Times New Roman"/>
    </w:rPr>
  </w:style>
  <w:style w:type="character" w:styleId="PageNumber">
    <w:name w:val="page number"/>
    <w:basedOn w:val="DefaultParagraphFont"/>
    <w:uiPriority w:val="99"/>
    <w:semiHidden/>
    <w:unhideWhenUsed/>
    <w:rsid w:val="000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8644">
      <w:bodyDiv w:val="1"/>
      <w:marLeft w:val="0"/>
      <w:marRight w:val="0"/>
      <w:marTop w:val="0"/>
      <w:marBottom w:val="0"/>
      <w:divBdr>
        <w:top w:val="none" w:sz="0" w:space="0" w:color="auto"/>
        <w:left w:val="none" w:sz="0" w:space="0" w:color="auto"/>
        <w:bottom w:val="none" w:sz="0" w:space="0" w:color="auto"/>
        <w:right w:val="none" w:sz="0" w:space="0" w:color="auto"/>
      </w:divBdr>
    </w:div>
    <w:div w:id="911474928">
      <w:bodyDiv w:val="1"/>
      <w:marLeft w:val="0"/>
      <w:marRight w:val="0"/>
      <w:marTop w:val="0"/>
      <w:marBottom w:val="0"/>
      <w:divBdr>
        <w:top w:val="none" w:sz="0" w:space="0" w:color="auto"/>
        <w:left w:val="none" w:sz="0" w:space="0" w:color="auto"/>
        <w:bottom w:val="none" w:sz="0" w:space="0" w:color="auto"/>
        <w:right w:val="none" w:sz="0" w:space="0" w:color="auto"/>
      </w:divBdr>
    </w:div>
    <w:div w:id="19873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m/item/access-to-covid-19-tools-tracker" TargetMode="External"/><Relationship Id="rId13" Type="http://schemas.openxmlformats.org/officeDocument/2006/relationships/hyperlink" Target="https://www.imf.org/en/Topics/imf-and-covid19/IMF-WHO-COVID-19-Vaccine-Tracker" TargetMode="External"/><Relationship Id="rId18" Type="http://schemas.openxmlformats.org/officeDocument/2006/relationships/hyperlink" Target="https://www.wto.org/spanish/tratop_s/covid19_s/vaccine_trade_tracker_s.htm" TargetMode="External"/><Relationship Id="rId26" Type="http://schemas.openxmlformats.org/officeDocument/2006/relationships/hyperlink" Target="https://www.globaltradealert.org/reports/54" TargetMode="External"/><Relationship Id="rId3" Type="http://schemas.openxmlformats.org/officeDocument/2006/relationships/styles" Target="styles.xml"/><Relationship Id="rId21" Type="http://schemas.openxmlformats.org/officeDocument/2006/relationships/hyperlink" Target="https://www.who.int/docs/default-source/coronaviruse/act-accelerator/3_financing-act-a_8thcouncil_9dec2021.pdf?sfvrsn=a77d4293_1&amp;download=true" TargetMode="External"/><Relationship Id="rId7" Type="http://schemas.openxmlformats.org/officeDocument/2006/relationships/endnotes" Target="endnotes.xml"/><Relationship Id="rId12" Type="http://schemas.openxmlformats.org/officeDocument/2006/relationships/hyperlink" Target="https://www.unicef.org/supply/covid-19-vaccine-market-dashboard" TargetMode="External"/><Relationship Id="rId17" Type="http://schemas.openxmlformats.org/officeDocument/2006/relationships/hyperlink" Target="https://www.globaltradealert.org/reports/54" TargetMode="External"/><Relationship Id="rId25" Type="http://schemas.openxmlformats.org/officeDocument/2006/relationships/hyperlink" Target="https://cdn.odi.org/media/documents/pai_technical_annex_final.pdf" TargetMode="External"/><Relationship Id="rId2" Type="http://schemas.openxmlformats.org/officeDocument/2006/relationships/numbering" Target="numbering.xml"/><Relationship Id="rId16" Type="http://schemas.openxmlformats.org/officeDocument/2006/relationships/hyperlink" Target="https://www.who.int/initiatives/covid-19-technology-access-pool/endorsements-of-the-solidarity-call-to-action" TargetMode="External"/><Relationship Id="rId20" Type="http://schemas.openxmlformats.org/officeDocument/2006/relationships/hyperlink" Target="https://www.who.int/publications/m/item/act-a-prioritized-strategy-and-budget-for-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f.org/en/Topics/imf-and-covid19/IMF-WHO-COVID-19-Vaccine-Tracker" TargetMode="External"/><Relationship Id="rId24" Type="http://schemas.openxmlformats.org/officeDocument/2006/relationships/hyperlink" Target="https://www.cgdev.org/sites/default/files/cdi-methodology-2021.pdf" TargetMode="External"/><Relationship Id="rId5" Type="http://schemas.openxmlformats.org/officeDocument/2006/relationships/webSettings" Target="webSettings.xml"/><Relationship Id="rId15" Type="http://schemas.openxmlformats.org/officeDocument/2006/relationships/hyperlink" Target="https://www.unicef.org/supply/covid-19-vaccine-market-dashboard" TargetMode="External"/><Relationship Id="rId23" Type="http://schemas.openxmlformats.org/officeDocument/2006/relationships/hyperlink" Target="https://www.msf.org/countries-obstructing-covid-19-patent-waiver-must-allow-negotiations" TargetMode="External"/><Relationship Id="rId28" Type="http://schemas.openxmlformats.org/officeDocument/2006/relationships/footer" Target="footer2.xml"/><Relationship Id="rId10" Type="http://schemas.openxmlformats.org/officeDocument/2006/relationships/hyperlink" Target="https://www.google.com/search?q=fair+share+funding+aCT-A+2021-22&amp;oq=fair+share+funding+aCT-A+2021-22&amp;aqs=chrome..69i57.10454j0j7&amp;sourceid=chrome&amp;ie=UTF-8" TargetMode="External"/><Relationship Id="rId19" Type="http://schemas.openxmlformats.org/officeDocument/2006/relationships/hyperlink" Target="https://www.wto.org/spanish/tratop_s/covid19_s/vaccine_trade_tracker_s.htm" TargetMode="External"/><Relationship Id="rId4" Type="http://schemas.openxmlformats.org/officeDocument/2006/relationships/settings" Target="settings.xml"/><Relationship Id="rId9" Type="http://schemas.openxmlformats.org/officeDocument/2006/relationships/hyperlink" Target="https://www.who.int/publications/m/item/access-to-covid-19-tools-tracker" TargetMode="External"/><Relationship Id="rId14" Type="http://schemas.openxmlformats.org/officeDocument/2006/relationships/hyperlink" Target="https://www.unicef.org/supply/covid-19-vaccine-market-dashboard" TargetMode="External"/><Relationship Id="rId22" Type="http://schemas.openxmlformats.org/officeDocument/2006/relationships/hyperlink" Target="https://www.globalcitizen.org/en/content/biden-global-covid-19-vaccine-target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48B43-C1D0-084E-9572-0DD7F797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Samman</dc:creator>
  <cp:keywords/>
  <dc:description/>
  <cp:lastModifiedBy>Emma Samman</cp:lastModifiedBy>
  <cp:revision>5</cp:revision>
  <dcterms:created xsi:type="dcterms:W3CDTF">2022-03-27T17:11:00Z</dcterms:created>
  <dcterms:modified xsi:type="dcterms:W3CDTF">2022-03-28T14:32:00Z</dcterms:modified>
</cp:coreProperties>
</file>